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C60F" w14:textId="77777777" w:rsidR="00F41228" w:rsidRDefault="00F119CE">
      <w:pPr>
        <w:pStyle w:val="Heading2"/>
        <w:spacing w:before="61"/>
      </w:pPr>
      <w:r>
        <w:t>Literature</w:t>
      </w:r>
      <w:r>
        <w:rPr>
          <w:spacing w:val="-5"/>
        </w:rPr>
        <w:t xml:space="preserve"> </w:t>
      </w:r>
      <w:r>
        <w:rPr>
          <w:spacing w:val="-2"/>
        </w:rPr>
        <w:t>Review</w:t>
      </w:r>
    </w:p>
    <w:p w14:paraId="381324A9" w14:textId="77777777" w:rsidR="00F41228" w:rsidRDefault="00F41228">
      <w:pPr>
        <w:pStyle w:val="BodyText"/>
        <w:spacing w:before="92"/>
        <w:rPr>
          <w:b/>
        </w:rPr>
      </w:pPr>
    </w:p>
    <w:p w14:paraId="517240DC" w14:textId="77777777" w:rsidR="00F41228" w:rsidRDefault="00F119CE">
      <w:pPr>
        <w:pStyle w:val="Title"/>
        <w:tabs>
          <w:tab w:val="left" w:pos="3152"/>
          <w:tab w:val="left" w:pos="5702"/>
          <w:tab w:val="left" w:pos="8086"/>
        </w:tabs>
      </w:pPr>
      <w:r>
        <w:rPr>
          <w:spacing w:val="-2"/>
        </w:rPr>
        <w:t>Multidisciplinary</w:t>
      </w:r>
      <w:r>
        <w:tab/>
      </w:r>
      <w:r>
        <w:rPr>
          <w:spacing w:val="-2"/>
        </w:rPr>
        <w:t>Management</w:t>
      </w:r>
      <w:r>
        <w:tab/>
      </w:r>
      <w:r>
        <w:rPr>
          <w:spacing w:val="-2"/>
        </w:rPr>
        <w:t>Approaches</w:t>
      </w:r>
      <w:r>
        <w:tab/>
      </w:r>
      <w:r>
        <w:rPr>
          <w:spacing w:val="-4"/>
        </w:rPr>
        <w:t xml:space="preserve">for </w:t>
      </w:r>
      <w:r>
        <w:t>Hydrocephalus and Cleft Lip Palate in Pediatric Patients</w:t>
      </w:r>
    </w:p>
    <w:p w14:paraId="272F0D1E" w14:textId="77777777" w:rsidR="00F41228" w:rsidRDefault="00F41228">
      <w:pPr>
        <w:pStyle w:val="BodyText"/>
        <w:rPr>
          <w:b/>
          <w:sz w:val="20"/>
        </w:rPr>
      </w:pPr>
    </w:p>
    <w:p w14:paraId="5316FF87" w14:textId="77777777" w:rsidR="00F41228" w:rsidRDefault="00F41228">
      <w:pPr>
        <w:pStyle w:val="BodyText"/>
        <w:spacing w:before="57"/>
        <w:rPr>
          <w:b/>
          <w:sz w:val="20"/>
        </w:rPr>
      </w:pPr>
    </w:p>
    <w:p w14:paraId="3455D0C2" w14:textId="69D90862" w:rsidR="00F41228" w:rsidRDefault="00F119CE">
      <w:pPr>
        <w:tabs>
          <w:tab w:val="left" w:pos="3350"/>
          <w:tab w:val="left" w:pos="4690"/>
          <w:tab w:val="left" w:pos="6142"/>
        </w:tabs>
        <w:spacing w:line="179" w:lineRule="exact"/>
        <w:ind w:left="1917"/>
        <w:rPr>
          <w:b/>
          <w:sz w:val="20"/>
        </w:rPr>
      </w:pPr>
      <w:r>
        <w:rPr>
          <w:b/>
          <w:spacing w:val="-10"/>
          <w:sz w:val="20"/>
        </w:rPr>
        <w:t>1</w:t>
      </w:r>
      <w:r>
        <w:rPr>
          <w:b/>
          <w:sz w:val="20"/>
        </w:rPr>
        <w:tab/>
      </w:r>
      <w:r w:rsidR="001D3E0C">
        <w:rPr>
          <w:b/>
          <w:spacing w:val="-10"/>
          <w:sz w:val="20"/>
        </w:rPr>
        <w:t>1</w:t>
      </w:r>
      <w:r>
        <w:rPr>
          <w:b/>
          <w:sz w:val="20"/>
        </w:rPr>
        <w:tab/>
      </w:r>
      <w:r w:rsidR="001D3E0C">
        <w:rPr>
          <w:b/>
          <w:spacing w:val="-10"/>
          <w:sz w:val="20"/>
        </w:rPr>
        <w:t>1</w:t>
      </w:r>
      <w:r>
        <w:rPr>
          <w:b/>
          <w:sz w:val="20"/>
        </w:rPr>
        <w:tab/>
      </w:r>
      <w:r w:rsidR="001D3E0C">
        <w:rPr>
          <w:b/>
          <w:spacing w:val="-10"/>
          <w:sz w:val="20"/>
        </w:rPr>
        <w:t>1</w:t>
      </w:r>
    </w:p>
    <w:p w14:paraId="5B367FD6" w14:textId="77777777" w:rsidR="00F41228" w:rsidRDefault="00F119CE">
      <w:pPr>
        <w:spacing w:line="179" w:lineRule="exact"/>
        <w:ind w:left="1"/>
        <w:rPr>
          <w:b/>
          <w:sz w:val="20"/>
        </w:rPr>
      </w:pPr>
      <w:r>
        <w:rPr>
          <w:b/>
          <w:sz w:val="20"/>
        </w:rPr>
        <w:t>Angeline</w:t>
      </w:r>
      <w:r>
        <w:rPr>
          <w:b/>
          <w:spacing w:val="-6"/>
          <w:sz w:val="20"/>
        </w:rPr>
        <w:t xml:space="preserve"> </w:t>
      </w:r>
      <w:proofErr w:type="spellStart"/>
      <w:r>
        <w:rPr>
          <w:b/>
          <w:sz w:val="20"/>
        </w:rPr>
        <w:t>Musmarihan</w:t>
      </w:r>
      <w:proofErr w:type="spellEnd"/>
      <w:r>
        <w:rPr>
          <w:b/>
          <w:spacing w:val="42"/>
          <w:sz w:val="20"/>
        </w:rPr>
        <w:t xml:space="preserve"> </w:t>
      </w:r>
      <w:r>
        <w:rPr>
          <w:b/>
          <w:sz w:val="20"/>
        </w:rPr>
        <w:t>,</w:t>
      </w:r>
      <w:r>
        <w:rPr>
          <w:b/>
          <w:spacing w:val="-5"/>
          <w:sz w:val="20"/>
        </w:rPr>
        <w:t xml:space="preserve"> </w:t>
      </w:r>
      <w:proofErr w:type="spellStart"/>
      <w:r>
        <w:rPr>
          <w:b/>
          <w:sz w:val="20"/>
        </w:rPr>
        <w:t>Selfiana</w:t>
      </w:r>
      <w:proofErr w:type="spellEnd"/>
      <w:r>
        <w:rPr>
          <w:b/>
          <w:spacing w:val="-5"/>
          <w:sz w:val="20"/>
        </w:rPr>
        <w:t xml:space="preserve"> </w:t>
      </w:r>
      <w:proofErr w:type="spellStart"/>
      <w:r>
        <w:rPr>
          <w:b/>
          <w:sz w:val="20"/>
        </w:rPr>
        <w:t>Tasya</w:t>
      </w:r>
      <w:proofErr w:type="spellEnd"/>
      <w:r>
        <w:rPr>
          <w:b/>
          <w:spacing w:val="42"/>
          <w:sz w:val="20"/>
        </w:rPr>
        <w:t xml:space="preserve"> </w:t>
      </w:r>
      <w:r>
        <w:rPr>
          <w:b/>
          <w:sz w:val="20"/>
        </w:rPr>
        <w:t>,</w:t>
      </w:r>
      <w:r>
        <w:rPr>
          <w:b/>
          <w:spacing w:val="-6"/>
          <w:sz w:val="20"/>
        </w:rPr>
        <w:t xml:space="preserve"> </w:t>
      </w:r>
      <w:r>
        <w:rPr>
          <w:b/>
          <w:sz w:val="20"/>
        </w:rPr>
        <w:t>Chika</w:t>
      </w:r>
      <w:r>
        <w:rPr>
          <w:b/>
          <w:spacing w:val="-5"/>
          <w:sz w:val="20"/>
        </w:rPr>
        <w:t xml:space="preserve"> </w:t>
      </w:r>
      <w:proofErr w:type="spellStart"/>
      <w:r>
        <w:rPr>
          <w:b/>
          <w:sz w:val="20"/>
        </w:rPr>
        <w:t>Auliya</w:t>
      </w:r>
      <w:proofErr w:type="spellEnd"/>
      <w:r>
        <w:rPr>
          <w:b/>
          <w:spacing w:val="42"/>
          <w:sz w:val="20"/>
        </w:rPr>
        <w:t xml:space="preserve"> </w:t>
      </w:r>
      <w:r>
        <w:rPr>
          <w:b/>
          <w:sz w:val="20"/>
        </w:rPr>
        <w:t>,</w:t>
      </w:r>
      <w:r>
        <w:rPr>
          <w:b/>
          <w:spacing w:val="-5"/>
          <w:sz w:val="20"/>
        </w:rPr>
        <w:t xml:space="preserve"> </w:t>
      </w:r>
      <w:r>
        <w:rPr>
          <w:b/>
          <w:sz w:val="20"/>
        </w:rPr>
        <w:t>Lisa</w:t>
      </w:r>
      <w:r>
        <w:rPr>
          <w:b/>
          <w:spacing w:val="-5"/>
          <w:sz w:val="20"/>
        </w:rPr>
        <w:t xml:space="preserve"> </w:t>
      </w:r>
      <w:proofErr w:type="spellStart"/>
      <w:r>
        <w:rPr>
          <w:b/>
          <w:spacing w:val="-2"/>
          <w:sz w:val="20"/>
        </w:rPr>
        <w:t>Rosyelina</w:t>
      </w:r>
      <w:proofErr w:type="spellEnd"/>
    </w:p>
    <w:p w14:paraId="54D31B05" w14:textId="77777777" w:rsidR="00F41228" w:rsidRDefault="00F41228">
      <w:pPr>
        <w:pStyle w:val="BodyText"/>
        <w:spacing w:before="112"/>
        <w:rPr>
          <w:b/>
          <w:sz w:val="18"/>
        </w:rPr>
      </w:pPr>
    </w:p>
    <w:p w14:paraId="41C06655" w14:textId="4944FA7B" w:rsidR="00F41228" w:rsidRDefault="001D3E0C">
      <w:pPr>
        <w:pStyle w:val="ListParagraph"/>
        <w:numPr>
          <w:ilvl w:val="0"/>
          <w:numId w:val="1"/>
        </w:numPr>
        <w:tabs>
          <w:tab w:val="left" w:pos="195"/>
        </w:tabs>
        <w:ind w:hanging="194"/>
        <w:rPr>
          <w:sz w:val="18"/>
        </w:rPr>
      </w:pPr>
      <w:proofErr w:type="spellStart"/>
      <w:r>
        <w:rPr>
          <w:sz w:val="18"/>
        </w:rPr>
        <w:t>Fakultas</w:t>
      </w:r>
      <w:proofErr w:type="spellEnd"/>
      <w:r>
        <w:rPr>
          <w:sz w:val="18"/>
        </w:rPr>
        <w:t xml:space="preserve"> </w:t>
      </w:r>
      <w:proofErr w:type="spellStart"/>
      <w:r>
        <w:rPr>
          <w:sz w:val="18"/>
        </w:rPr>
        <w:t>Kedokteran</w:t>
      </w:r>
      <w:proofErr w:type="spellEnd"/>
      <w:r>
        <w:rPr>
          <w:sz w:val="18"/>
        </w:rPr>
        <w:t xml:space="preserve"> Gigi, </w:t>
      </w:r>
      <w:r w:rsidR="00F119CE">
        <w:rPr>
          <w:sz w:val="18"/>
        </w:rPr>
        <w:t xml:space="preserve">Universitas Muhammadiyah </w:t>
      </w:r>
      <w:r w:rsidR="00F119CE">
        <w:rPr>
          <w:spacing w:val="-2"/>
          <w:sz w:val="18"/>
        </w:rPr>
        <w:t>Surabaya</w:t>
      </w:r>
    </w:p>
    <w:p w14:paraId="140B436B" w14:textId="77777777" w:rsidR="00F41228" w:rsidRDefault="00F41228">
      <w:pPr>
        <w:pStyle w:val="BodyText"/>
        <w:spacing w:before="23"/>
        <w:rPr>
          <w:sz w:val="18"/>
        </w:rPr>
      </w:pPr>
    </w:p>
    <w:p w14:paraId="0F261E71" w14:textId="77777777" w:rsidR="00F41228" w:rsidRDefault="00F119CE">
      <w:pPr>
        <w:pStyle w:val="Heading2"/>
        <w:spacing w:before="0"/>
        <w:ind w:left="0" w:right="12"/>
        <w:jc w:val="center"/>
      </w:pPr>
      <w:r>
        <w:rPr>
          <w:spacing w:val="-2"/>
        </w:rPr>
        <w:t>Abstract</w:t>
      </w:r>
    </w:p>
    <w:p w14:paraId="446A7BDD" w14:textId="77777777" w:rsidR="00F41228" w:rsidRDefault="00F41228">
      <w:pPr>
        <w:pStyle w:val="BodyText"/>
        <w:spacing w:before="180"/>
        <w:rPr>
          <w:b/>
        </w:rPr>
      </w:pPr>
    </w:p>
    <w:p w14:paraId="441EAA92" w14:textId="77777777" w:rsidR="00F41228" w:rsidRDefault="00F119CE">
      <w:pPr>
        <w:pStyle w:val="BodyText"/>
        <w:spacing w:line="360" w:lineRule="auto"/>
        <w:ind w:left="1" w:right="13" w:firstLine="720"/>
        <w:jc w:val="both"/>
      </w:pPr>
      <w:r>
        <w:t>Hydrocephalus and cleft lip and palate (CLP) are congenital abnormalities that significantly impact a child's health and development. Hydroceph</w:t>
      </w:r>
      <w:r>
        <w:t>alus results from impaired cerebrospinal fluid circulation, which increases intracranial pressure and can lead to brain damage. CLP is caused by a failure of facial tissue fusion during the embryonic</w:t>
      </w:r>
      <w:r>
        <w:rPr>
          <w:spacing w:val="-3"/>
        </w:rPr>
        <w:t xml:space="preserve"> </w:t>
      </w:r>
      <w:r>
        <w:t>period,</w:t>
      </w:r>
      <w:r>
        <w:rPr>
          <w:spacing w:val="-3"/>
        </w:rPr>
        <w:t xml:space="preserve"> </w:t>
      </w:r>
      <w:r>
        <w:t>which</w:t>
      </w:r>
      <w:r>
        <w:rPr>
          <w:spacing w:val="-3"/>
        </w:rPr>
        <w:t xml:space="preserve"> </w:t>
      </w:r>
      <w:r>
        <w:t>disrupts</w:t>
      </w:r>
      <w:r>
        <w:rPr>
          <w:spacing w:val="-3"/>
        </w:rPr>
        <w:t xml:space="preserve"> </w:t>
      </w:r>
      <w:r>
        <w:t>speech,</w:t>
      </w:r>
      <w:r>
        <w:rPr>
          <w:spacing w:val="-3"/>
        </w:rPr>
        <w:t xml:space="preserve"> </w:t>
      </w:r>
      <w:r>
        <w:t>eating,</w:t>
      </w:r>
      <w:r>
        <w:rPr>
          <w:spacing w:val="-3"/>
        </w:rPr>
        <w:t xml:space="preserve"> </w:t>
      </w:r>
      <w:r>
        <w:t>and</w:t>
      </w:r>
      <w:r>
        <w:rPr>
          <w:spacing w:val="-3"/>
        </w:rPr>
        <w:t xml:space="preserve"> </w:t>
      </w:r>
      <w:r>
        <w:t>facial</w:t>
      </w:r>
      <w:r>
        <w:rPr>
          <w:spacing w:val="-3"/>
        </w:rPr>
        <w:t xml:space="preserve"> </w:t>
      </w:r>
      <w:r>
        <w:t>aesthetics.</w:t>
      </w:r>
      <w:r>
        <w:rPr>
          <w:spacing w:val="-3"/>
        </w:rPr>
        <w:t xml:space="preserve"> </w:t>
      </w:r>
      <w:r>
        <w:t>This</w:t>
      </w:r>
      <w:r>
        <w:rPr>
          <w:spacing w:val="-3"/>
        </w:rPr>
        <w:t xml:space="preserve"> </w:t>
      </w:r>
      <w:r>
        <w:t>study</w:t>
      </w:r>
      <w:r>
        <w:rPr>
          <w:spacing w:val="-3"/>
        </w:rPr>
        <w:t xml:space="preserve"> </w:t>
      </w:r>
      <w:r>
        <w:t>used</w:t>
      </w:r>
      <w:r>
        <w:rPr>
          <w:spacing w:val="-3"/>
        </w:rPr>
        <w:t xml:space="preserve"> </w:t>
      </w:r>
      <w:r>
        <w:t>a qualitative descriptive literature review method to describe the multidisciplinary management of both conditions.</w:t>
      </w:r>
    </w:p>
    <w:p w14:paraId="67828259" w14:textId="77777777" w:rsidR="00F41228" w:rsidRDefault="00F119CE">
      <w:pPr>
        <w:pStyle w:val="BodyText"/>
        <w:spacing w:line="360" w:lineRule="auto"/>
        <w:ind w:left="1" w:right="15" w:firstLine="720"/>
        <w:jc w:val="both"/>
      </w:pPr>
      <w:r>
        <w:t>The review results indicate that hydrocephalus is generally treated with a ventriculoperitoneal shunt or endoscopic third ventriculostomy, while CLP requires surgical correction (cheiloplasty and palatoplasty) accompanied by speech therapy, orthodontics, a</w:t>
      </w:r>
      <w:r>
        <w:t>nd psychological support. It can be concluded that interdisciplinary collaboration is crucial for improving clinical outcomes and patient quality of life. Further research is recommended to assess the long-term effectiveness and the relationship between ge</w:t>
      </w:r>
      <w:r>
        <w:t xml:space="preserve">netic and environmental factors in the occurrence of these two </w:t>
      </w:r>
      <w:r>
        <w:rPr>
          <w:spacing w:val="-2"/>
        </w:rPr>
        <w:t>disorders.</w:t>
      </w:r>
    </w:p>
    <w:p w14:paraId="14CF6BF9" w14:textId="77777777" w:rsidR="00F41228" w:rsidRDefault="00F41228">
      <w:pPr>
        <w:pStyle w:val="BodyText"/>
        <w:spacing w:before="138"/>
      </w:pPr>
    </w:p>
    <w:p w14:paraId="746DE88D" w14:textId="77777777" w:rsidR="00F41228" w:rsidRDefault="00F119CE">
      <w:pPr>
        <w:pStyle w:val="BodyText"/>
        <w:tabs>
          <w:tab w:val="left" w:pos="1845"/>
        </w:tabs>
        <w:spacing w:line="360" w:lineRule="auto"/>
        <w:ind w:left="1981" w:right="25" w:hanging="1980"/>
      </w:pPr>
      <w:r>
        <w:rPr>
          <w:b/>
          <w:spacing w:val="-2"/>
        </w:rPr>
        <w:t>Keywords</w:t>
      </w:r>
      <w:r>
        <w:rPr>
          <w:b/>
        </w:rPr>
        <w:tab/>
        <w:t>:</w:t>
      </w:r>
      <w:r>
        <w:rPr>
          <w:b/>
          <w:spacing w:val="-9"/>
        </w:rPr>
        <w:t xml:space="preserve"> </w:t>
      </w:r>
      <w:r>
        <w:t>Hydrocephalus,</w:t>
      </w:r>
      <w:r>
        <w:rPr>
          <w:spacing w:val="40"/>
        </w:rPr>
        <w:t xml:space="preserve"> </w:t>
      </w:r>
      <w:r>
        <w:t>cleft</w:t>
      </w:r>
      <w:r>
        <w:rPr>
          <w:spacing w:val="40"/>
        </w:rPr>
        <w:t xml:space="preserve"> </w:t>
      </w:r>
      <w:r>
        <w:t>lip</w:t>
      </w:r>
      <w:r>
        <w:rPr>
          <w:spacing w:val="40"/>
        </w:rPr>
        <w:t xml:space="preserve"> </w:t>
      </w:r>
      <w:r>
        <w:t>and</w:t>
      </w:r>
      <w:r>
        <w:rPr>
          <w:spacing w:val="40"/>
        </w:rPr>
        <w:t xml:space="preserve"> </w:t>
      </w:r>
      <w:r>
        <w:t>palate,</w:t>
      </w:r>
      <w:r>
        <w:rPr>
          <w:spacing w:val="40"/>
        </w:rPr>
        <w:t xml:space="preserve"> </w:t>
      </w:r>
      <w:r>
        <w:t>children,</w:t>
      </w:r>
      <w:r>
        <w:rPr>
          <w:spacing w:val="40"/>
        </w:rPr>
        <w:t xml:space="preserve"> </w:t>
      </w:r>
      <w:r>
        <w:t xml:space="preserve">multidisciplinary, </w:t>
      </w:r>
      <w:r>
        <w:rPr>
          <w:spacing w:val="-2"/>
        </w:rPr>
        <w:t>management</w:t>
      </w:r>
    </w:p>
    <w:p w14:paraId="377F52CC" w14:textId="77777777" w:rsidR="00F41228" w:rsidRDefault="00F119CE">
      <w:pPr>
        <w:ind w:left="1"/>
        <w:rPr>
          <w:sz w:val="24"/>
        </w:rPr>
      </w:pPr>
      <w:r>
        <w:rPr>
          <w:b/>
          <w:sz w:val="24"/>
        </w:rPr>
        <w:t>Correspondence</w:t>
      </w:r>
      <w:r>
        <w:rPr>
          <w:b/>
          <w:spacing w:val="75"/>
          <w:w w:val="150"/>
          <w:sz w:val="24"/>
        </w:rPr>
        <w:t xml:space="preserve"> </w:t>
      </w:r>
      <w:r>
        <w:rPr>
          <w:b/>
          <w:sz w:val="24"/>
        </w:rPr>
        <w:t>:</w:t>
      </w:r>
      <w:r>
        <w:rPr>
          <w:b/>
          <w:spacing w:val="-6"/>
          <w:sz w:val="24"/>
        </w:rPr>
        <w:t xml:space="preserve"> </w:t>
      </w:r>
      <w:hyperlink r:id="rId7">
        <w:r>
          <w:rPr>
            <w:spacing w:val="-2"/>
            <w:sz w:val="24"/>
          </w:rPr>
          <w:t>chikaauliya5454@gmail.co</w:t>
        </w:r>
        <w:r>
          <w:rPr>
            <w:spacing w:val="-2"/>
            <w:sz w:val="24"/>
          </w:rPr>
          <w:t>m</w:t>
        </w:r>
      </w:hyperlink>
    </w:p>
    <w:p w14:paraId="2A983367" w14:textId="77777777" w:rsidR="00F41228" w:rsidRDefault="00F41228">
      <w:pPr>
        <w:rPr>
          <w:sz w:val="24"/>
        </w:rPr>
        <w:sectPr w:rsidR="00F41228">
          <w:footerReference w:type="default" r:id="rId8"/>
          <w:type w:val="continuous"/>
          <w:pgSz w:w="11920" w:h="16840"/>
          <w:pgMar w:top="1640" w:right="1700" w:bottom="1180" w:left="1700" w:header="0" w:footer="1000" w:gutter="0"/>
          <w:pgNumType w:start="1"/>
          <w:cols w:space="720"/>
        </w:sectPr>
      </w:pPr>
    </w:p>
    <w:p w14:paraId="011E3F63" w14:textId="77777777" w:rsidR="00F41228" w:rsidRDefault="00F41228">
      <w:pPr>
        <w:pStyle w:val="BodyText"/>
        <w:rPr>
          <w:i/>
        </w:rPr>
      </w:pPr>
    </w:p>
    <w:p w14:paraId="00727A75" w14:textId="77777777" w:rsidR="00F41228" w:rsidRDefault="00F41228">
      <w:pPr>
        <w:pStyle w:val="BodyText"/>
        <w:spacing w:before="188"/>
        <w:rPr>
          <w:i/>
        </w:rPr>
      </w:pPr>
    </w:p>
    <w:p w14:paraId="42D0848A" w14:textId="77777777" w:rsidR="00F41228" w:rsidRDefault="00F119CE">
      <w:pPr>
        <w:pStyle w:val="Heading1"/>
      </w:pPr>
      <w:r>
        <w:rPr>
          <w:spacing w:val="-2"/>
        </w:rPr>
        <w:t>INTRODUCTION</w:t>
      </w:r>
    </w:p>
    <w:p w14:paraId="547983A6" w14:textId="77777777" w:rsidR="00F41228" w:rsidRDefault="00F119CE">
      <w:pPr>
        <w:pStyle w:val="BodyText"/>
        <w:spacing w:before="258" w:line="360" w:lineRule="auto"/>
        <w:ind w:left="1" w:right="13" w:firstLine="720"/>
        <w:jc w:val="both"/>
      </w:pPr>
      <w:r>
        <w:t>Hydrocephalus is a serious neurological disorder</w:t>
      </w:r>
      <w:r>
        <w:rPr>
          <w:spacing w:val="-3"/>
        </w:rPr>
        <w:t xml:space="preserve"> </w:t>
      </w:r>
      <w:r>
        <w:t>characterized</w:t>
      </w:r>
      <w:r>
        <w:rPr>
          <w:spacing w:val="-3"/>
        </w:rPr>
        <w:t xml:space="preserve"> </w:t>
      </w:r>
      <w:r>
        <w:t>by</w:t>
      </w:r>
      <w:r>
        <w:rPr>
          <w:spacing w:val="-3"/>
        </w:rPr>
        <w:t xml:space="preserve"> </w:t>
      </w:r>
      <w:r>
        <w:t>an</w:t>
      </w:r>
      <w:r>
        <w:rPr>
          <w:spacing w:val="-3"/>
        </w:rPr>
        <w:t xml:space="preserve"> </w:t>
      </w:r>
      <w:r>
        <w:t>increase</w:t>
      </w:r>
      <w:r>
        <w:rPr>
          <w:spacing w:val="-3"/>
        </w:rPr>
        <w:t xml:space="preserve"> </w:t>
      </w:r>
      <w:r>
        <w:t>in cerebrospinal fluid (CSF) volume within the brain's ventricular system, resulting in increased intracranial pressure. Normal intracranial pressure ranges from 7–15 mmHg, and increased pressure can cause symptoms such as head enlargement, seizures, neuro</w:t>
      </w:r>
      <w:r>
        <w:t>logical deficits, headaches, fever, and paralysis, all of which impact the patient's quality of life. This condition is not a single disease, but rather the</w:t>
      </w:r>
      <w:r>
        <w:rPr>
          <w:spacing w:val="-2"/>
        </w:rPr>
        <w:t xml:space="preserve"> </w:t>
      </w:r>
      <w:r>
        <w:t>end</w:t>
      </w:r>
      <w:r>
        <w:rPr>
          <w:spacing w:val="-2"/>
        </w:rPr>
        <w:t xml:space="preserve"> </w:t>
      </w:r>
      <w:r>
        <w:t>result</w:t>
      </w:r>
      <w:r>
        <w:rPr>
          <w:spacing w:val="-2"/>
        </w:rPr>
        <w:t xml:space="preserve"> </w:t>
      </w:r>
      <w:r>
        <w:t>of</w:t>
      </w:r>
      <w:r>
        <w:rPr>
          <w:spacing w:val="-2"/>
        </w:rPr>
        <w:t xml:space="preserve"> </w:t>
      </w:r>
      <w:r>
        <w:t>a</w:t>
      </w:r>
      <w:r>
        <w:rPr>
          <w:spacing w:val="-2"/>
        </w:rPr>
        <w:t xml:space="preserve"> </w:t>
      </w:r>
      <w:r>
        <w:t>wide range of pathological processes, both congenital and acquired (</w:t>
      </w:r>
      <w:proofErr w:type="spellStart"/>
      <w:r>
        <w:t>Manik</w:t>
      </w:r>
      <w:proofErr w:type="spellEnd"/>
      <w:r>
        <w:t xml:space="preserve">, Putra, </w:t>
      </w:r>
      <w:proofErr w:type="spellStart"/>
      <w:r>
        <w:t>A</w:t>
      </w:r>
      <w:r>
        <w:t>tifah</w:t>
      </w:r>
      <w:proofErr w:type="spellEnd"/>
      <w:r>
        <w:t>, 2024).</w:t>
      </w:r>
      <w:r>
        <w:rPr>
          <w:spacing w:val="80"/>
        </w:rPr>
        <w:t xml:space="preserve"> </w:t>
      </w:r>
      <w:r>
        <w:t>Classification</w:t>
      </w:r>
      <w:r>
        <w:rPr>
          <w:spacing w:val="80"/>
        </w:rPr>
        <w:t xml:space="preserve"> </w:t>
      </w:r>
      <w:r>
        <w:t>of</w:t>
      </w:r>
      <w:r>
        <w:rPr>
          <w:spacing w:val="80"/>
        </w:rPr>
        <w:t xml:space="preserve"> </w:t>
      </w:r>
      <w:r>
        <w:t>hydrocephalus</w:t>
      </w:r>
      <w:r>
        <w:rPr>
          <w:spacing w:val="80"/>
        </w:rPr>
        <w:t xml:space="preserve"> </w:t>
      </w:r>
      <w:r>
        <w:t>involves</w:t>
      </w:r>
      <w:r>
        <w:rPr>
          <w:spacing w:val="80"/>
        </w:rPr>
        <w:t xml:space="preserve"> </w:t>
      </w:r>
      <w:r>
        <w:t>two</w:t>
      </w:r>
      <w:r>
        <w:rPr>
          <w:spacing w:val="80"/>
        </w:rPr>
        <w:t xml:space="preserve"> </w:t>
      </w:r>
      <w:r>
        <w:t>main</w:t>
      </w:r>
      <w:r>
        <w:rPr>
          <w:spacing w:val="80"/>
        </w:rPr>
        <w:t xml:space="preserve"> </w:t>
      </w:r>
      <w:r>
        <w:t>types:</w:t>
      </w:r>
      <w:r>
        <w:rPr>
          <w:spacing w:val="80"/>
        </w:rPr>
        <w:t xml:space="preserve"> </w:t>
      </w:r>
      <w:r>
        <w:t>obstructive</w:t>
      </w:r>
      <w:r>
        <w:rPr>
          <w:spacing w:val="40"/>
        </w:rPr>
        <w:t xml:space="preserve"> </w:t>
      </w:r>
      <w:r>
        <w:t>(non-communicating) hydrocephalus and communicating hydrocephalus, depending on whether or not there is a connection between the ventricular system and the subarachnoid spac</w:t>
      </w:r>
      <w:r>
        <w:t>e.</w:t>
      </w:r>
    </w:p>
    <w:p w14:paraId="54BC5CE8" w14:textId="77777777" w:rsidR="00F41228" w:rsidRDefault="00F119CE">
      <w:pPr>
        <w:pStyle w:val="BodyText"/>
        <w:spacing w:before="120" w:line="360" w:lineRule="auto"/>
        <w:ind w:left="1" w:right="14" w:firstLine="720"/>
        <w:jc w:val="both"/>
      </w:pPr>
      <w:r>
        <w:t>Obstructive hydrocephalus occurs due to obstruction of CSF flow within the ventricular system or its channels leading to the subarachnoid space, while communicating hydrocephalus involves impaired CSF absorption even though the ventricular pathway remai</w:t>
      </w:r>
      <w:r>
        <w:t>ns open. The global incidence of congenital hydrocephalus reaches 3-4 per 1,000 live births with an overall prevalence of 84.7 per 100,000 population (</w:t>
      </w:r>
      <w:proofErr w:type="spellStart"/>
      <w:r>
        <w:t>Manik</w:t>
      </w:r>
      <w:proofErr w:type="spellEnd"/>
      <w:r>
        <w:t xml:space="preserve">, Putra, </w:t>
      </w:r>
      <w:proofErr w:type="spellStart"/>
      <w:r>
        <w:t>Atifah</w:t>
      </w:r>
      <w:proofErr w:type="spellEnd"/>
      <w:r>
        <w:t>, 2024).</w:t>
      </w:r>
    </w:p>
    <w:p w14:paraId="594515CF" w14:textId="77777777" w:rsidR="00F41228" w:rsidRDefault="00F119CE">
      <w:pPr>
        <w:pStyle w:val="BodyText"/>
        <w:spacing w:before="120" w:line="360" w:lineRule="auto"/>
        <w:ind w:left="1" w:right="14" w:firstLine="720"/>
        <w:jc w:val="both"/>
      </w:pPr>
      <w:r>
        <w:t>In Indonesia, hydrocephalus accounts for approximately 40–50% of pediatric n</w:t>
      </w:r>
      <w:r>
        <w:t xml:space="preserve">eurosurgeries. Etiological factors include congenital abnormalities such as </w:t>
      </w:r>
      <w:proofErr w:type="spellStart"/>
      <w:r>
        <w:t>aqueductal</w:t>
      </w:r>
      <w:proofErr w:type="spellEnd"/>
      <w:r>
        <w:t xml:space="preserve"> stenosis of Sylvius and Dandy-Walker malformation, intraventricular hemorrhage in premature infants, intrauterine infections (e.g., Toxoplasma gondii and CMV), genetic a</w:t>
      </w:r>
      <w:r>
        <w:t>bnormalities, alcohol exposure, and exposure to heavy metals such as tungsten and chromium, which can damage the choroid plexus and brain ependyma. Early diagnosis and prompt surgical management are crucial, as delays in treatment can lead to permanent dis</w:t>
      </w:r>
      <w:r>
        <w:t>ability or death (</w:t>
      </w:r>
      <w:proofErr w:type="spellStart"/>
      <w:r>
        <w:t>Manik</w:t>
      </w:r>
      <w:proofErr w:type="spellEnd"/>
      <w:r>
        <w:t xml:space="preserve">, Putra, </w:t>
      </w:r>
      <w:proofErr w:type="spellStart"/>
      <w:r>
        <w:t>Atifah</w:t>
      </w:r>
      <w:proofErr w:type="spellEnd"/>
      <w:r>
        <w:t>, 2024).</w:t>
      </w:r>
    </w:p>
    <w:p w14:paraId="4A6284C2" w14:textId="77777777" w:rsidR="00F41228" w:rsidRDefault="00F119CE">
      <w:pPr>
        <w:pStyle w:val="BodyText"/>
        <w:spacing w:before="120" w:line="360" w:lineRule="auto"/>
        <w:ind w:left="1" w:right="16" w:firstLine="720"/>
        <w:jc w:val="both"/>
      </w:pPr>
      <w:r>
        <w:t>Cleft lip and palate is one of the most common congenital orofacial abnormalities, characterized by failure of the maxillary and nasal processes to fuse during embryogenesis, typically occurring between the 5t</w:t>
      </w:r>
      <w:r>
        <w:t>h and 9th weeks of gestation. This disorder can be a cleft lip, a cleft palate, or a combination of both (cleft lip and palate/CLP).</w:t>
      </w:r>
      <w:r>
        <w:rPr>
          <w:spacing w:val="28"/>
        </w:rPr>
        <w:t xml:space="preserve"> </w:t>
      </w:r>
      <w:r>
        <w:t>Globally,</w:t>
      </w:r>
      <w:r>
        <w:rPr>
          <w:spacing w:val="29"/>
        </w:rPr>
        <w:t xml:space="preserve"> </w:t>
      </w:r>
      <w:r>
        <w:t>the</w:t>
      </w:r>
      <w:r>
        <w:rPr>
          <w:spacing w:val="29"/>
        </w:rPr>
        <w:t xml:space="preserve"> </w:t>
      </w:r>
      <w:r>
        <w:t>incidence</w:t>
      </w:r>
      <w:r>
        <w:rPr>
          <w:spacing w:val="29"/>
        </w:rPr>
        <w:t xml:space="preserve"> </w:t>
      </w:r>
      <w:r>
        <w:t>of</w:t>
      </w:r>
      <w:r>
        <w:rPr>
          <w:spacing w:val="29"/>
        </w:rPr>
        <w:t xml:space="preserve"> </w:t>
      </w:r>
      <w:r>
        <w:t>this</w:t>
      </w:r>
      <w:r>
        <w:rPr>
          <w:spacing w:val="28"/>
        </w:rPr>
        <w:t xml:space="preserve"> </w:t>
      </w:r>
      <w:r>
        <w:t>disorder</w:t>
      </w:r>
      <w:r>
        <w:rPr>
          <w:spacing w:val="29"/>
        </w:rPr>
        <w:t xml:space="preserve"> </w:t>
      </w:r>
      <w:r>
        <w:t>ranges</w:t>
      </w:r>
      <w:r>
        <w:rPr>
          <w:spacing w:val="14"/>
        </w:rPr>
        <w:t xml:space="preserve"> </w:t>
      </w:r>
      <w:r>
        <w:t>from</w:t>
      </w:r>
      <w:r>
        <w:rPr>
          <w:spacing w:val="14"/>
        </w:rPr>
        <w:t xml:space="preserve"> </w:t>
      </w:r>
      <w:r>
        <w:t>1</w:t>
      </w:r>
      <w:r>
        <w:rPr>
          <w:spacing w:val="14"/>
        </w:rPr>
        <w:t xml:space="preserve"> </w:t>
      </w:r>
      <w:r>
        <w:t>in</w:t>
      </w:r>
      <w:r>
        <w:rPr>
          <w:spacing w:val="14"/>
        </w:rPr>
        <w:t xml:space="preserve"> </w:t>
      </w:r>
      <w:r>
        <w:t>600</w:t>
      </w:r>
      <w:r>
        <w:rPr>
          <w:spacing w:val="14"/>
        </w:rPr>
        <w:t xml:space="preserve"> </w:t>
      </w:r>
      <w:r>
        <w:t>to</w:t>
      </w:r>
      <w:r>
        <w:rPr>
          <w:spacing w:val="14"/>
        </w:rPr>
        <w:t xml:space="preserve"> </w:t>
      </w:r>
      <w:r>
        <w:t>1</w:t>
      </w:r>
      <w:r>
        <w:rPr>
          <w:spacing w:val="14"/>
        </w:rPr>
        <w:t xml:space="preserve"> </w:t>
      </w:r>
      <w:r>
        <w:t>in</w:t>
      </w:r>
      <w:r>
        <w:rPr>
          <w:spacing w:val="15"/>
        </w:rPr>
        <w:t xml:space="preserve"> </w:t>
      </w:r>
      <w:r>
        <w:rPr>
          <w:spacing w:val="-5"/>
        </w:rPr>
        <w:t>800</w:t>
      </w:r>
    </w:p>
    <w:p w14:paraId="408BE928" w14:textId="77777777" w:rsidR="00F41228" w:rsidRDefault="00F41228">
      <w:pPr>
        <w:pStyle w:val="BodyText"/>
        <w:spacing w:line="360" w:lineRule="auto"/>
        <w:jc w:val="both"/>
        <w:sectPr w:rsidR="00F41228">
          <w:pgSz w:w="11920" w:h="16840"/>
          <w:pgMar w:top="640" w:right="1700" w:bottom="1180" w:left="1700" w:header="0" w:footer="1000" w:gutter="0"/>
          <w:cols w:space="720"/>
        </w:sectPr>
      </w:pPr>
    </w:p>
    <w:p w14:paraId="527C85D6" w14:textId="77777777" w:rsidR="00F41228" w:rsidRDefault="00F119CE">
      <w:pPr>
        <w:pStyle w:val="BodyText"/>
        <w:spacing w:before="61" w:line="360" w:lineRule="auto"/>
        <w:ind w:left="1" w:right="21"/>
        <w:jc w:val="both"/>
      </w:pPr>
      <w:r>
        <w:lastRenderedPageBreak/>
        <w:t xml:space="preserve">live births, with CLP being more common in males and CP being more common in females. In Indonesia, the incidence rate reaches 0.49–1.23 per 1,000 live births, with approximately 7,500 new cases each year, representing 2.4% of all congenital abnormalities </w:t>
      </w:r>
      <w:r>
        <w:t>(</w:t>
      </w:r>
      <w:proofErr w:type="spellStart"/>
      <w:r>
        <w:t>Nuha</w:t>
      </w:r>
      <w:proofErr w:type="spellEnd"/>
      <w:r>
        <w:t xml:space="preserve"> </w:t>
      </w:r>
      <w:proofErr w:type="spellStart"/>
      <w:r>
        <w:t>Afifa</w:t>
      </w:r>
      <w:proofErr w:type="spellEnd"/>
      <w:r>
        <w:t xml:space="preserve"> </w:t>
      </w:r>
      <w:proofErr w:type="spellStart"/>
      <w:r>
        <w:t>Khairotin</w:t>
      </w:r>
      <w:proofErr w:type="spellEnd"/>
      <w:r>
        <w:t>, 2025).</w:t>
      </w:r>
    </w:p>
    <w:p w14:paraId="0E274893" w14:textId="77777777" w:rsidR="00F41228" w:rsidRDefault="00F119CE">
      <w:pPr>
        <w:pStyle w:val="BodyText"/>
        <w:spacing w:before="120" w:line="360" w:lineRule="auto"/>
        <w:ind w:left="1" w:right="16" w:firstLine="720"/>
        <w:jc w:val="both"/>
      </w:pPr>
      <w:r>
        <w:t xml:space="preserve">Etiologically, cleft lip and palate are multifactorial, encompassing genetic factors, maternal nutritional deficiencies (especially folic acid), hormonal disorders, exposure to teratogenic substances, intrauterine infections, </w:t>
      </w:r>
      <w:r>
        <w:t>and environmental factors such as the</w:t>
      </w:r>
      <w:r>
        <w:rPr>
          <w:spacing w:val="-4"/>
        </w:rPr>
        <w:t xml:space="preserve"> </w:t>
      </w:r>
      <w:r>
        <w:t>use</w:t>
      </w:r>
      <w:r>
        <w:rPr>
          <w:spacing w:val="-4"/>
        </w:rPr>
        <w:t xml:space="preserve"> </w:t>
      </w:r>
      <w:r>
        <w:t>of</w:t>
      </w:r>
      <w:r>
        <w:rPr>
          <w:spacing w:val="-4"/>
        </w:rPr>
        <w:t xml:space="preserve"> </w:t>
      </w:r>
      <w:r>
        <w:t>certain</w:t>
      </w:r>
      <w:r>
        <w:rPr>
          <w:spacing w:val="-4"/>
        </w:rPr>
        <w:t xml:space="preserve"> </w:t>
      </w:r>
      <w:r>
        <w:t>medications</w:t>
      </w:r>
      <w:r>
        <w:rPr>
          <w:spacing w:val="-4"/>
        </w:rPr>
        <w:t xml:space="preserve"> </w:t>
      </w:r>
      <w:r>
        <w:t>during</w:t>
      </w:r>
      <w:r>
        <w:rPr>
          <w:spacing w:val="-4"/>
        </w:rPr>
        <w:t xml:space="preserve"> </w:t>
      </w:r>
      <w:r>
        <w:t>pregnancy.</w:t>
      </w:r>
      <w:r>
        <w:rPr>
          <w:spacing w:val="-4"/>
        </w:rPr>
        <w:t xml:space="preserve"> </w:t>
      </w:r>
      <w:r>
        <w:t>Clinical</w:t>
      </w:r>
      <w:r>
        <w:rPr>
          <w:spacing w:val="-4"/>
        </w:rPr>
        <w:t xml:space="preserve"> </w:t>
      </w:r>
      <w:r>
        <w:t>manifestations</w:t>
      </w:r>
      <w:r>
        <w:rPr>
          <w:spacing w:val="-4"/>
        </w:rPr>
        <w:t xml:space="preserve"> </w:t>
      </w:r>
      <w:r>
        <w:t xml:space="preserve">include difficulty breastfeeding, speech disorders (hypernasality due to </w:t>
      </w:r>
      <w:proofErr w:type="spellStart"/>
      <w:r>
        <w:t>levator</w:t>
      </w:r>
      <w:proofErr w:type="spellEnd"/>
      <w:r>
        <w:t xml:space="preserve"> </w:t>
      </w:r>
      <w:proofErr w:type="spellStart"/>
      <w:r>
        <w:t>veli</w:t>
      </w:r>
      <w:proofErr w:type="spellEnd"/>
      <w:r>
        <w:t xml:space="preserve"> palatini muscle dysfunction), recurrent middle ear infections, </w:t>
      </w:r>
      <w:r>
        <w:t>hearing loss, and psychosocial impacts such as low self-confidence and limited social interaction (</w:t>
      </w:r>
      <w:proofErr w:type="spellStart"/>
      <w:r>
        <w:t>Nuha</w:t>
      </w:r>
      <w:proofErr w:type="spellEnd"/>
      <w:r>
        <w:t xml:space="preserve"> </w:t>
      </w:r>
      <w:proofErr w:type="spellStart"/>
      <w:r>
        <w:t>Afifa</w:t>
      </w:r>
      <w:proofErr w:type="spellEnd"/>
      <w:r>
        <w:t xml:space="preserve"> </w:t>
      </w:r>
      <w:proofErr w:type="spellStart"/>
      <w:r>
        <w:t>Khairotin</w:t>
      </w:r>
      <w:proofErr w:type="spellEnd"/>
      <w:r>
        <w:t xml:space="preserve">, 2025; </w:t>
      </w:r>
      <w:proofErr w:type="spellStart"/>
      <w:r>
        <w:t>Dewi</w:t>
      </w:r>
      <w:proofErr w:type="spellEnd"/>
      <w:r>
        <w:t xml:space="preserve"> Putu </w:t>
      </w:r>
      <w:proofErr w:type="spellStart"/>
      <w:r>
        <w:t>Suliaswati</w:t>
      </w:r>
      <w:proofErr w:type="spellEnd"/>
      <w:r>
        <w:t>, 2019).</w:t>
      </w:r>
    </w:p>
    <w:p w14:paraId="1417DD1D" w14:textId="77777777" w:rsidR="00F41228" w:rsidRDefault="00F119CE">
      <w:pPr>
        <w:pStyle w:val="BodyText"/>
        <w:spacing w:before="120" w:line="360" w:lineRule="auto"/>
        <w:ind w:left="1" w:right="15" w:firstLine="720"/>
        <w:jc w:val="both"/>
      </w:pPr>
      <w:r>
        <w:t>Management of cleft lip and palate requires a multidisciplinary approach involving pediatricians, or</w:t>
      </w:r>
      <w:r>
        <w:t>al and maxillofacial surgeons, orthodontists, speech</w:t>
      </w:r>
      <w:r>
        <w:rPr>
          <w:spacing w:val="40"/>
        </w:rPr>
        <w:t xml:space="preserve"> </w:t>
      </w:r>
      <w:r>
        <w:t>therapists, and nutritionists. The main goals of treatment include restoring the anatomical and physiological functions of the oral cavity and improving facial</w:t>
      </w:r>
      <w:r>
        <w:rPr>
          <w:spacing w:val="40"/>
        </w:rPr>
        <w:t xml:space="preserve"> </w:t>
      </w:r>
      <w:r>
        <w:t>aesthetics through primary surgical procedu</w:t>
      </w:r>
      <w:r>
        <w:t>res such as cheiloplasty for lip repair and palatoplasty for palate closure, followed by long-term rehabilitative therapy to support optimal growth, speech development, and masticatory function (</w:t>
      </w:r>
      <w:proofErr w:type="spellStart"/>
      <w:r>
        <w:t>Nuha</w:t>
      </w:r>
      <w:proofErr w:type="spellEnd"/>
      <w:r>
        <w:t xml:space="preserve"> </w:t>
      </w:r>
      <w:proofErr w:type="spellStart"/>
      <w:r>
        <w:t>Afifa</w:t>
      </w:r>
      <w:proofErr w:type="spellEnd"/>
      <w:r>
        <w:t xml:space="preserve"> </w:t>
      </w:r>
      <w:proofErr w:type="spellStart"/>
      <w:r>
        <w:t>Khairotin</w:t>
      </w:r>
      <w:proofErr w:type="spellEnd"/>
      <w:r>
        <w:t xml:space="preserve">, 2025; </w:t>
      </w:r>
      <w:proofErr w:type="spellStart"/>
      <w:r>
        <w:t>Dewi</w:t>
      </w:r>
      <w:proofErr w:type="spellEnd"/>
      <w:r>
        <w:t xml:space="preserve"> Putu </w:t>
      </w:r>
      <w:proofErr w:type="spellStart"/>
      <w:r>
        <w:t>Suliaswati</w:t>
      </w:r>
      <w:proofErr w:type="spellEnd"/>
      <w:r>
        <w:t>, 2019).</w:t>
      </w:r>
    </w:p>
    <w:p w14:paraId="728A4D5E" w14:textId="77777777" w:rsidR="00F41228" w:rsidRDefault="00F41228">
      <w:pPr>
        <w:pStyle w:val="BodyText"/>
      </w:pPr>
    </w:p>
    <w:p w14:paraId="3EC6F2F4" w14:textId="77777777" w:rsidR="00F41228" w:rsidRDefault="00F41228">
      <w:pPr>
        <w:pStyle w:val="BodyText"/>
        <w:spacing w:before="102"/>
      </w:pPr>
    </w:p>
    <w:p w14:paraId="71635261" w14:textId="77777777" w:rsidR="00F41228" w:rsidRDefault="00F119CE">
      <w:pPr>
        <w:pStyle w:val="Heading1"/>
        <w:jc w:val="both"/>
      </w:pPr>
      <w:r>
        <w:rPr>
          <w:spacing w:val="-2"/>
        </w:rPr>
        <w:t>LITERATURE</w:t>
      </w:r>
      <w:r>
        <w:rPr>
          <w:spacing w:val="2"/>
        </w:rPr>
        <w:t xml:space="preserve"> </w:t>
      </w:r>
      <w:r>
        <w:rPr>
          <w:spacing w:val="-2"/>
        </w:rPr>
        <w:t>REVIEW</w:t>
      </w:r>
    </w:p>
    <w:p w14:paraId="0A5C47FB" w14:textId="77777777" w:rsidR="00F41228" w:rsidRDefault="00F119CE">
      <w:pPr>
        <w:pStyle w:val="Heading2"/>
        <w:spacing w:before="258"/>
        <w:jc w:val="both"/>
      </w:pPr>
      <w:r>
        <w:t xml:space="preserve">Definition of </w:t>
      </w:r>
      <w:r>
        <w:rPr>
          <w:spacing w:val="-2"/>
        </w:rPr>
        <w:t>Hydrocephalus</w:t>
      </w:r>
    </w:p>
    <w:p w14:paraId="11421BAA" w14:textId="77777777" w:rsidR="00F41228" w:rsidRDefault="00F119CE">
      <w:pPr>
        <w:pStyle w:val="BodyText"/>
        <w:spacing w:before="258" w:line="360" w:lineRule="auto"/>
        <w:ind w:left="1" w:right="15" w:firstLine="720"/>
        <w:jc w:val="both"/>
      </w:pPr>
      <w:r>
        <w:t>Hydrocephalus is defined as a pathological accumulation of cerebrospinal fluid (CSF) within the ventricular system of the brain, resulting in progressive ventricular enlargement and increased intracranial press</w:t>
      </w:r>
      <w:r>
        <w:t>ure (ICP). This occurs due to disturbances in CSF production, circulation, or absorption, ultimately causing compression and dysfunction of the surrounding neural (</w:t>
      </w:r>
      <w:proofErr w:type="spellStart"/>
      <w:r>
        <w:t>Koleva</w:t>
      </w:r>
      <w:proofErr w:type="spellEnd"/>
      <w:r>
        <w:t xml:space="preserve"> and De </w:t>
      </w:r>
      <w:proofErr w:type="spellStart"/>
      <w:r>
        <w:t>Yesus</w:t>
      </w:r>
      <w:proofErr w:type="spellEnd"/>
      <w:r>
        <w:t>, 2025). Hydrocephalus is considered a clinical syndrome rather than a si</w:t>
      </w:r>
      <w:r>
        <w:t>ngle disease entity because it represents the final common pathway of multiple neurological disorders that disrupt normal CSF dynamics</w:t>
      </w:r>
      <w:r>
        <w:rPr>
          <w:spacing w:val="27"/>
        </w:rPr>
        <w:t xml:space="preserve"> </w:t>
      </w:r>
      <w:r>
        <w:t>(Yousaf</w:t>
      </w:r>
      <w:r>
        <w:rPr>
          <w:spacing w:val="28"/>
        </w:rPr>
        <w:t xml:space="preserve"> </w:t>
      </w:r>
      <w:r>
        <w:rPr>
          <w:i/>
        </w:rPr>
        <w:t>et</w:t>
      </w:r>
      <w:r>
        <w:rPr>
          <w:i/>
          <w:spacing w:val="28"/>
        </w:rPr>
        <w:t xml:space="preserve"> </w:t>
      </w:r>
      <w:r>
        <w:rPr>
          <w:i/>
        </w:rPr>
        <w:t>al.,</w:t>
      </w:r>
      <w:r>
        <w:rPr>
          <w:i/>
          <w:spacing w:val="28"/>
        </w:rPr>
        <w:t xml:space="preserve"> </w:t>
      </w:r>
      <w:r>
        <w:t>2018).</w:t>
      </w:r>
      <w:r>
        <w:rPr>
          <w:spacing w:val="13"/>
        </w:rPr>
        <w:t xml:space="preserve"> </w:t>
      </w:r>
      <w:r>
        <w:t>The</w:t>
      </w:r>
      <w:r>
        <w:rPr>
          <w:spacing w:val="13"/>
        </w:rPr>
        <w:t xml:space="preserve"> </w:t>
      </w:r>
      <w:r>
        <w:t>term</w:t>
      </w:r>
      <w:r>
        <w:rPr>
          <w:spacing w:val="13"/>
        </w:rPr>
        <w:t xml:space="preserve"> </w:t>
      </w:r>
      <w:r>
        <w:t>derives</w:t>
      </w:r>
      <w:r>
        <w:rPr>
          <w:spacing w:val="14"/>
        </w:rPr>
        <w:t xml:space="preserve"> </w:t>
      </w:r>
      <w:r>
        <w:t>from</w:t>
      </w:r>
      <w:r>
        <w:rPr>
          <w:spacing w:val="13"/>
        </w:rPr>
        <w:t xml:space="preserve"> </w:t>
      </w:r>
      <w:r>
        <w:t>the</w:t>
      </w:r>
      <w:r>
        <w:rPr>
          <w:spacing w:val="13"/>
        </w:rPr>
        <w:t xml:space="preserve"> </w:t>
      </w:r>
      <w:r>
        <w:t>Greek</w:t>
      </w:r>
      <w:r>
        <w:rPr>
          <w:spacing w:val="13"/>
        </w:rPr>
        <w:t xml:space="preserve"> </w:t>
      </w:r>
      <w:r>
        <w:t>words</w:t>
      </w:r>
      <w:r>
        <w:rPr>
          <w:spacing w:val="13"/>
        </w:rPr>
        <w:t xml:space="preserve"> </w:t>
      </w:r>
      <w:r>
        <w:t>hydro</w:t>
      </w:r>
      <w:r>
        <w:rPr>
          <w:spacing w:val="14"/>
        </w:rPr>
        <w:t xml:space="preserve"> </w:t>
      </w:r>
      <w:r>
        <w:rPr>
          <w:spacing w:val="-2"/>
        </w:rPr>
        <w:t>(water)</w:t>
      </w:r>
    </w:p>
    <w:p w14:paraId="302BF411" w14:textId="77777777" w:rsidR="00F41228" w:rsidRDefault="00F41228">
      <w:pPr>
        <w:pStyle w:val="BodyText"/>
        <w:spacing w:line="360" w:lineRule="auto"/>
        <w:jc w:val="both"/>
        <w:sectPr w:rsidR="00F41228">
          <w:pgSz w:w="11920" w:h="16840"/>
          <w:pgMar w:top="1640" w:right="1700" w:bottom="1200" w:left="1700" w:header="0" w:footer="1000" w:gutter="0"/>
          <w:cols w:space="720"/>
        </w:sectPr>
      </w:pPr>
    </w:p>
    <w:p w14:paraId="213F0991" w14:textId="77777777" w:rsidR="00F41228" w:rsidRDefault="00F119CE">
      <w:pPr>
        <w:spacing w:before="68"/>
        <w:ind w:left="5396"/>
        <w:rPr>
          <w:i/>
        </w:rPr>
      </w:pPr>
      <w:proofErr w:type="spellStart"/>
      <w:r>
        <w:rPr>
          <w:i/>
        </w:rPr>
        <w:lastRenderedPageBreak/>
        <w:t>Jurnal</w:t>
      </w:r>
      <w:proofErr w:type="spellEnd"/>
      <w:r>
        <w:rPr>
          <w:i/>
          <w:spacing w:val="-8"/>
        </w:rPr>
        <w:t xml:space="preserve"> </w:t>
      </w:r>
      <w:proofErr w:type="spellStart"/>
      <w:r>
        <w:rPr>
          <w:i/>
        </w:rPr>
        <w:t>Kedokteran</w:t>
      </w:r>
      <w:proofErr w:type="spellEnd"/>
      <w:r>
        <w:rPr>
          <w:i/>
          <w:spacing w:val="-8"/>
        </w:rPr>
        <w:t xml:space="preserve"> </w:t>
      </w:r>
      <w:r>
        <w:rPr>
          <w:i/>
        </w:rPr>
        <w:t>Gigi</w:t>
      </w:r>
      <w:r>
        <w:rPr>
          <w:i/>
          <w:spacing w:val="-7"/>
        </w:rPr>
        <w:t xml:space="preserve"> </w:t>
      </w:r>
      <w:r>
        <w:rPr>
          <w:i/>
        </w:rPr>
        <w:t>An-</w:t>
      </w:r>
      <w:proofErr w:type="spellStart"/>
      <w:r>
        <w:rPr>
          <w:i/>
          <w:spacing w:val="-2"/>
        </w:rPr>
        <w:t>Najjari</w:t>
      </w:r>
      <w:proofErr w:type="spellEnd"/>
    </w:p>
    <w:p w14:paraId="0A5ECDE8" w14:textId="77777777" w:rsidR="00F41228" w:rsidRDefault="00F41228">
      <w:pPr>
        <w:pStyle w:val="BodyText"/>
        <w:rPr>
          <w:i/>
          <w:sz w:val="22"/>
        </w:rPr>
      </w:pPr>
    </w:p>
    <w:p w14:paraId="720DE2AB" w14:textId="77777777" w:rsidR="00F41228" w:rsidRDefault="00F41228">
      <w:pPr>
        <w:pStyle w:val="BodyText"/>
        <w:spacing w:before="234"/>
        <w:rPr>
          <w:i/>
          <w:sz w:val="22"/>
        </w:rPr>
      </w:pPr>
    </w:p>
    <w:p w14:paraId="19BDAC77" w14:textId="77777777" w:rsidR="00F41228" w:rsidRDefault="00F119CE">
      <w:pPr>
        <w:pStyle w:val="BodyText"/>
        <w:spacing w:line="360" w:lineRule="auto"/>
        <w:ind w:left="1" w:right="14"/>
        <w:jc w:val="both"/>
      </w:pPr>
      <w:r>
        <w:t xml:space="preserve">and </w:t>
      </w:r>
      <w:proofErr w:type="spellStart"/>
      <w:r>
        <w:t>kephalos</w:t>
      </w:r>
      <w:proofErr w:type="spellEnd"/>
      <w:r>
        <w:t xml:space="preserve"> (head), historically described</w:t>
      </w:r>
      <w:r>
        <w:rPr>
          <w:spacing w:val="-3"/>
        </w:rPr>
        <w:t xml:space="preserve"> </w:t>
      </w:r>
      <w:r>
        <w:t>more</w:t>
      </w:r>
      <w:r>
        <w:rPr>
          <w:spacing w:val="-3"/>
        </w:rPr>
        <w:t xml:space="preserve"> </w:t>
      </w:r>
      <w:r>
        <w:t>than</w:t>
      </w:r>
      <w:r>
        <w:rPr>
          <w:spacing w:val="-3"/>
        </w:rPr>
        <w:t xml:space="preserve"> </w:t>
      </w:r>
      <w:r>
        <w:t>2,000</w:t>
      </w:r>
      <w:r>
        <w:rPr>
          <w:spacing w:val="-3"/>
        </w:rPr>
        <w:t xml:space="preserve"> </w:t>
      </w:r>
      <w:r>
        <w:t>years</w:t>
      </w:r>
      <w:r>
        <w:rPr>
          <w:spacing w:val="-3"/>
        </w:rPr>
        <w:t xml:space="preserve"> </w:t>
      </w:r>
      <w:r>
        <w:t>ago</w:t>
      </w:r>
      <w:r>
        <w:rPr>
          <w:spacing w:val="-3"/>
        </w:rPr>
        <w:t xml:space="preserve"> </w:t>
      </w:r>
      <w:r>
        <w:t>(</w:t>
      </w:r>
      <w:proofErr w:type="spellStart"/>
      <w:r>
        <w:t>Permana</w:t>
      </w:r>
      <w:proofErr w:type="spellEnd"/>
      <w:r>
        <w:t>,</w:t>
      </w:r>
      <w:r>
        <w:rPr>
          <w:spacing w:val="-3"/>
        </w:rPr>
        <w:t xml:space="preserve"> </w:t>
      </w:r>
      <w:r>
        <w:t>2018). Hydrocephalus may be categorized into communicating and non-communicating (obstructive) types depending on whether CSF flow is blocked within the ventricular s</w:t>
      </w:r>
      <w:r>
        <w:t>ystem (</w:t>
      </w:r>
      <w:proofErr w:type="spellStart"/>
      <w:r>
        <w:t>Koleva</w:t>
      </w:r>
      <w:proofErr w:type="spellEnd"/>
      <w:r>
        <w:t xml:space="preserve"> and De </w:t>
      </w:r>
      <w:proofErr w:type="spellStart"/>
      <w:r>
        <w:t>Yesus</w:t>
      </w:r>
      <w:proofErr w:type="spellEnd"/>
      <w:r>
        <w:t>, 2025). Communicating hydrocephalus results from impaired CSF absorption at the arachnoid granulations, whereas non-communicating hydrocephalus occurs due to structural</w:t>
      </w:r>
      <w:r>
        <w:rPr>
          <w:spacing w:val="-2"/>
        </w:rPr>
        <w:t xml:space="preserve"> </w:t>
      </w:r>
      <w:r>
        <w:t>blockage</w:t>
      </w:r>
      <w:r>
        <w:rPr>
          <w:spacing w:val="-2"/>
        </w:rPr>
        <w:t xml:space="preserve"> </w:t>
      </w:r>
      <w:r>
        <w:t>at</w:t>
      </w:r>
      <w:r>
        <w:rPr>
          <w:spacing w:val="-2"/>
        </w:rPr>
        <w:t xml:space="preserve"> </w:t>
      </w:r>
      <w:r>
        <w:t>sites</w:t>
      </w:r>
      <w:r>
        <w:rPr>
          <w:spacing w:val="-2"/>
        </w:rPr>
        <w:t xml:space="preserve"> </w:t>
      </w:r>
      <w:r>
        <w:t>such</w:t>
      </w:r>
      <w:r>
        <w:rPr>
          <w:spacing w:val="-2"/>
        </w:rPr>
        <w:t xml:space="preserve"> </w:t>
      </w:r>
      <w:r>
        <w:t>as</w:t>
      </w:r>
      <w:r>
        <w:rPr>
          <w:spacing w:val="-2"/>
        </w:rPr>
        <w:t xml:space="preserve"> </w:t>
      </w:r>
      <w:r>
        <w:t>the</w:t>
      </w:r>
      <w:r>
        <w:rPr>
          <w:spacing w:val="-2"/>
        </w:rPr>
        <w:t xml:space="preserve"> </w:t>
      </w:r>
      <w:r>
        <w:t>aqueduct</w:t>
      </w:r>
      <w:r>
        <w:rPr>
          <w:spacing w:val="-2"/>
        </w:rPr>
        <w:t xml:space="preserve"> </w:t>
      </w:r>
      <w:r>
        <w:t>of</w:t>
      </w:r>
      <w:r>
        <w:rPr>
          <w:spacing w:val="-2"/>
        </w:rPr>
        <w:t xml:space="preserve"> </w:t>
      </w:r>
      <w:r>
        <w:t>Sylvius or the for</w:t>
      </w:r>
      <w:r>
        <w:t>amen of</w:t>
      </w:r>
      <w:r>
        <w:rPr>
          <w:spacing w:val="-3"/>
        </w:rPr>
        <w:t xml:space="preserve"> </w:t>
      </w:r>
      <w:proofErr w:type="spellStart"/>
      <w:r>
        <w:t>Monro</w:t>
      </w:r>
      <w:proofErr w:type="spellEnd"/>
      <w:r>
        <w:rPr>
          <w:spacing w:val="-3"/>
        </w:rPr>
        <w:t xml:space="preserve"> </w:t>
      </w:r>
      <w:r>
        <w:t>(</w:t>
      </w:r>
      <w:proofErr w:type="spellStart"/>
      <w:r>
        <w:t>Permana</w:t>
      </w:r>
      <w:proofErr w:type="spellEnd"/>
      <w:r>
        <w:t>,</w:t>
      </w:r>
      <w:r>
        <w:rPr>
          <w:spacing w:val="-3"/>
        </w:rPr>
        <w:t xml:space="preserve"> </w:t>
      </w:r>
      <w:r>
        <w:t>2018).</w:t>
      </w:r>
      <w:r>
        <w:rPr>
          <w:spacing w:val="-3"/>
        </w:rPr>
        <w:t xml:space="preserve"> </w:t>
      </w:r>
      <w:r>
        <w:t>The</w:t>
      </w:r>
      <w:r>
        <w:rPr>
          <w:spacing w:val="-3"/>
        </w:rPr>
        <w:t xml:space="preserve"> </w:t>
      </w:r>
      <w:r>
        <w:t>condition</w:t>
      </w:r>
      <w:r>
        <w:rPr>
          <w:spacing w:val="-3"/>
        </w:rPr>
        <w:t xml:space="preserve"> </w:t>
      </w:r>
      <w:r>
        <w:t>can</w:t>
      </w:r>
      <w:r>
        <w:rPr>
          <w:spacing w:val="-3"/>
        </w:rPr>
        <w:t xml:space="preserve"> </w:t>
      </w:r>
      <w:r>
        <w:t>be</w:t>
      </w:r>
      <w:r>
        <w:rPr>
          <w:spacing w:val="-3"/>
        </w:rPr>
        <w:t xml:space="preserve"> </w:t>
      </w:r>
      <w:r>
        <w:t>congenital</w:t>
      </w:r>
      <w:r>
        <w:rPr>
          <w:spacing w:val="-3"/>
        </w:rPr>
        <w:t xml:space="preserve"> </w:t>
      </w:r>
      <w:r>
        <w:t>or</w:t>
      </w:r>
      <w:r>
        <w:rPr>
          <w:spacing w:val="-3"/>
        </w:rPr>
        <w:t xml:space="preserve"> </w:t>
      </w:r>
      <w:r>
        <w:t>acquired, with acquired forms commonly resulting from intraventricular hemorrhage, infection, trauma, tumors, or other intracranial pathologies (</w:t>
      </w:r>
      <w:proofErr w:type="spellStart"/>
      <w:r>
        <w:t>Koleva</w:t>
      </w:r>
      <w:proofErr w:type="spellEnd"/>
      <w:r>
        <w:t xml:space="preserve"> and De </w:t>
      </w:r>
      <w:proofErr w:type="spellStart"/>
      <w:r>
        <w:t>Yesus</w:t>
      </w:r>
      <w:proofErr w:type="spellEnd"/>
      <w:r>
        <w:t>, 2025). If left untreated</w:t>
      </w:r>
      <w:r>
        <w:t xml:space="preserve">, sustained elevation of ICP can progress to cerebral herniation, permanent neurological injury, and death (Yousaf </w:t>
      </w:r>
      <w:r>
        <w:rPr>
          <w:i/>
        </w:rPr>
        <w:t xml:space="preserve">et al., </w:t>
      </w:r>
      <w:r>
        <w:t>2018).</w:t>
      </w:r>
    </w:p>
    <w:p w14:paraId="1C8E0BE7" w14:textId="77777777" w:rsidR="00F41228" w:rsidRDefault="00F119CE">
      <w:pPr>
        <w:pStyle w:val="BodyText"/>
        <w:spacing w:before="51"/>
        <w:rPr>
          <w:sz w:val="20"/>
        </w:rPr>
      </w:pPr>
      <w:r>
        <w:rPr>
          <w:noProof/>
          <w:sz w:val="20"/>
        </w:rPr>
        <w:drawing>
          <wp:anchor distT="0" distB="0" distL="0" distR="0" simplePos="0" relativeHeight="487587840" behindDoc="1" locked="0" layoutInCell="1" allowOverlap="1" wp14:anchorId="7A78BB95" wp14:editId="04C14476">
            <wp:simplePos x="0" y="0"/>
            <wp:positionH relativeFrom="page">
              <wp:posOffset>2367325</wp:posOffset>
            </wp:positionH>
            <wp:positionV relativeFrom="paragraph">
              <wp:posOffset>194042</wp:posOffset>
            </wp:positionV>
            <wp:extent cx="2743493" cy="14001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743493" cy="1400175"/>
                    </a:xfrm>
                    <a:prstGeom prst="rect">
                      <a:avLst/>
                    </a:prstGeom>
                  </pic:spPr>
                </pic:pic>
              </a:graphicData>
            </a:graphic>
          </wp:anchor>
        </w:drawing>
      </w:r>
    </w:p>
    <w:p w14:paraId="106B5904" w14:textId="77777777" w:rsidR="00F41228" w:rsidRDefault="00F41228">
      <w:pPr>
        <w:pStyle w:val="BodyText"/>
        <w:spacing w:before="28"/>
      </w:pPr>
    </w:p>
    <w:p w14:paraId="0142957F" w14:textId="77777777" w:rsidR="00F41228" w:rsidRDefault="00F119CE">
      <w:pPr>
        <w:ind w:right="12"/>
        <w:jc w:val="center"/>
      </w:pPr>
      <w:r>
        <w:rPr>
          <w:b/>
        </w:rPr>
        <w:t>Figure</w:t>
      </w:r>
      <w:r>
        <w:rPr>
          <w:b/>
          <w:spacing w:val="-6"/>
        </w:rPr>
        <w:t xml:space="preserve"> </w:t>
      </w:r>
      <w:r>
        <w:rPr>
          <w:b/>
        </w:rPr>
        <w:t>1.</w:t>
      </w:r>
      <w:r>
        <w:rPr>
          <w:b/>
          <w:spacing w:val="57"/>
          <w:w w:val="150"/>
        </w:rPr>
        <w:t xml:space="preserve"> </w:t>
      </w:r>
      <w:r>
        <w:rPr>
          <w:sz w:val="24"/>
        </w:rPr>
        <w:t>Hydrocephalus</w:t>
      </w:r>
      <w:r>
        <w:rPr>
          <w:spacing w:val="-4"/>
          <w:sz w:val="24"/>
        </w:rPr>
        <w:t xml:space="preserve"> </w:t>
      </w:r>
      <w:r>
        <w:t>(</w:t>
      </w:r>
      <w:proofErr w:type="spellStart"/>
      <w:r>
        <w:t>StatPearls</w:t>
      </w:r>
      <w:proofErr w:type="spellEnd"/>
      <w:r>
        <w:rPr>
          <w:spacing w:val="-6"/>
        </w:rPr>
        <w:t xml:space="preserve"> </w:t>
      </w:r>
      <w:r>
        <w:t>Publishing</w:t>
      </w:r>
      <w:r>
        <w:rPr>
          <w:spacing w:val="-5"/>
        </w:rPr>
        <w:t xml:space="preserve"> </w:t>
      </w:r>
      <w:r>
        <w:t>LLC.,</w:t>
      </w:r>
      <w:r>
        <w:rPr>
          <w:spacing w:val="-5"/>
        </w:rPr>
        <w:t xml:space="preserve"> </w:t>
      </w:r>
      <w:r>
        <w:rPr>
          <w:spacing w:val="-2"/>
        </w:rPr>
        <w:t>2025)</w:t>
      </w:r>
    </w:p>
    <w:p w14:paraId="726DCE99" w14:textId="77777777" w:rsidR="00F41228" w:rsidRDefault="00F41228">
      <w:pPr>
        <w:pStyle w:val="BodyText"/>
        <w:rPr>
          <w:sz w:val="22"/>
        </w:rPr>
      </w:pPr>
    </w:p>
    <w:p w14:paraId="799BBCE4" w14:textId="77777777" w:rsidR="00F41228" w:rsidRDefault="00F41228">
      <w:pPr>
        <w:pStyle w:val="BodyText"/>
        <w:spacing w:before="11"/>
        <w:rPr>
          <w:sz w:val="22"/>
        </w:rPr>
      </w:pPr>
    </w:p>
    <w:p w14:paraId="66AA5F34" w14:textId="77777777" w:rsidR="00F41228" w:rsidRDefault="00F119CE">
      <w:pPr>
        <w:spacing w:before="1"/>
        <w:ind w:left="1"/>
        <w:jc w:val="both"/>
        <w:rPr>
          <w:b/>
        </w:rPr>
      </w:pPr>
      <w:r>
        <w:rPr>
          <w:b/>
        </w:rPr>
        <w:t>Definition</w:t>
      </w:r>
      <w:r>
        <w:rPr>
          <w:b/>
          <w:spacing w:val="-5"/>
        </w:rPr>
        <w:t xml:space="preserve"> </w:t>
      </w:r>
      <w:r>
        <w:rPr>
          <w:b/>
        </w:rPr>
        <w:t>of</w:t>
      </w:r>
      <w:r>
        <w:rPr>
          <w:b/>
          <w:spacing w:val="-5"/>
        </w:rPr>
        <w:t xml:space="preserve"> </w:t>
      </w:r>
      <w:r>
        <w:rPr>
          <w:b/>
        </w:rPr>
        <w:t>Cleft</w:t>
      </w:r>
      <w:r>
        <w:rPr>
          <w:b/>
          <w:spacing w:val="-5"/>
        </w:rPr>
        <w:t xml:space="preserve"> </w:t>
      </w:r>
      <w:r>
        <w:rPr>
          <w:b/>
        </w:rPr>
        <w:t>Lip</w:t>
      </w:r>
      <w:r>
        <w:rPr>
          <w:b/>
          <w:spacing w:val="-5"/>
        </w:rPr>
        <w:t xml:space="preserve"> </w:t>
      </w:r>
      <w:r>
        <w:rPr>
          <w:b/>
          <w:spacing w:val="-2"/>
        </w:rPr>
        <w:t>Palate</w:t>
      </w:r>
    </w:p>
    <w:p w14:paraId="311328C8" w14:textId="77777777" w:rsidR="00F41228" w:rsidRDefault="00F41228">
      <w:pPr>
        <w:pStyle w:val="BodyText"/>
        <w:spacing w:before="252"/>
        <w:rPr>
          <w:b/>
          <w:sz w:val="22"/>
        </w:rPr>
      </w:pPr>
    </w:p>
    <w:p w14:paraId="471040CB" w14:textId="77777777" w:rsidR="00F41228" w:rsidRDefault="00F119CE">
      <w:pPr>
        <w:pStyle w:val="BodyText"/>
        <w:spacing w:before="1" w:line="360" w:lineRule="auto"/>
        <w:ind w:left="1" w:right="16" w:firstLine="990"/>
        <w:jc w:val="both"/>
      </w:pPr>
      <w:r>
        <w:t>Cleft lip and palate (CLP) is defined as a congenital craniofacial anomaly resulting from the failure of fusion between the maxillary and frontonasal</w:t>
      </w:r>
      <w:r>
        <w:rPr>
          <w:spacing w:val="-3"/>
        </w:rPr>
        <w:t xml:space="preserve"> </w:t>
      </w:r>
      <w:r>
        <w:t>prominences during embryogenesis (Chaudhary, 2022). This defect may involve the lip, alveolus, hard palate</w:t>
      </w:r>
      <w:r>
        <w:t>, soft palate, or a combination of these structures, presenting bilaterally or unilaterally (</w:t>
      </w:r>
      <w:proofErr w:type="spellStart"/>
      <w:r>
        <w:t>Khairotin</w:t>
      </w:r>
      <w:proofErr w:type="spellEnd"/>
      <w:r>
        <w:t>, 2025). CLP is considered a major global craniofacial anomaly due to its functional and psychosocial consequences for affected children (Chaudhary, 2022)</w:t>
      </w:r>
      <w:r>
        <w:t>. The condition affects orofacial form and function, particularly feeding, speech, and facial aesthetics (</w:t>
      </w:r>
      <w:proofErr w:type="spellStart"/>
      <w:r>
        <w:t>Dewi</w:t>
      </w:r>
      <w:proofErr w:type="spellEnd"/>
      <w:r>
        <w:t>, 2019).</w:t>
      </w:r>
    </w:p>
    <w:p w14:paraId="5592982B" w14:textId="77777777" w:rsidR="00F41228" w:rsidRDefault="00F41228">
      <w:pPr>
        <w:pStyle w:val="BodyText"/>
        <w:spacing w:line="360" w:lineRule="auto"/>
        <w:jc w:val="both"/>
        <w:sectPr w:rsidR="00F41228">
          <w:pgSz w:w="11920" w:h="16840"/>
          <w:pgMar w:top="640" w:right="1700" w:bottom="1180" w:left="1700" w:header="0" w:footer="1000" w:gutter="0"/>
          <w:cols w:space="720"/>
        </w:sectPr>
      </w:pPr>
    </w:p>
    <w:p w14:paraId="73E47D17" w14:textId="77777777" w:rsidR="00F41228" w:rsidRDefault="00F119CE">
      <w:pPr>
        <w:pStyle w:val="Heading2"/>
        <w:spacing w:before="61"/>
      </w:pPr>
      <w:r>
        <w:rPr>
          <w:spacing w:val="-2"/>
        </w:rPr>
        <w:lastRenderedPageBreak/>
        <w:t>Epidemiology</w:t>
      </w:r>
    </w:p>
    <w:p w14:paraId="1F9FC289" w14:textId="77777777" w:rsidR="00F41228" w:rsidRDefault="00F41228">
      <w:pPr>
        <w:pStyle w:val="BodyText"/>
        <w:spacing w:before="102"/>
        <w:rPr>
          <w:b/>
        </w:rPr>
      </w:pPr>
    </w:p>
    <w:p w14:paraId="4EF6B9E4" w14:textId="77777777" w:rsidR="00F41228" w:rsidRDefault="00F119CE">
      <w:pPr>
        <w:pStyle w:val="BodyText"/>
        <w:spacing w:line="360" w:lineRule="auto"/>
        <w:ind w:left="1" w:right="13" w:firstLine="720"/>
        <w:jc w:val="both"/>
      </w:pPr>
      <w:r>
        <w:t>Hydrocephalus occurs across all age groups, but the burden is</w:t>
      </w:r>
      <w:r>
        <w:rPr>
          <w:spacing w:val="-3"/>
        </w:rPr>
        <w:t xml:space="preserve"> </w:t>
      </w:r>
      <w:r>
        <w:t>highest</w:t>
      </w:r>
      <w:r>
        <w:rPr>
          <w:spacing w:val="-3"/>
        </w:rPr>
        <w:t xml:space="preserve"> </w:t>
      </w:r>
      <w:r>
        <w:t>in</w:t>
      </w:r>
      <w:r>
        <w:rPr>
          <w:spacing w:val="-3"/>
        </w:rPr>
        <w:t xml:space="preserve"> </w:t>
      </w:r>
      <w:r>
        <w:t xml:space="preserve">infants and older adults due to </w:t>
      </w:r>
      <w:r>
        <w:t>their increased vulnerability to CSF flow disturbances (</w:t>
      </w:r>
      <w:proofErr w:type="spellStart"/>
      <w:r>
        <w:t>Koleva</w:t>
      </w:r>
      <w:proofErr w:type="spellEnd"/>
      <w:r>
        <w:t xml:space="preserve"> and De </w:t>
      </w:r>
      <w:proofErr w:type="spellStart"/>
      <w:r>
        <w:t>Yesus</w:t>
      </w:r>
      <w:proofErr w:type="spellEnd"/>
      <w:r>
        <w:t>, 2025). Global estimates indicate an incidence of approximately 3 per 1,000 live births, making it one of the most common congenital neurological disorders worldwide (</w:t>
      </w:r>
      <w:proofErr w:type="spellStart"/>
      <w:r>
        <w:t>Permana</w:t>
      </w:r>
      <w:proofErr w:type="spellEnd"/>
      <w:r>
        <w:t>, 2018</w:t>
      </w:r>
      <w:r>
        <w:t>). The epidemiological pattern varies by region, with developing countries</w:t>
      </w:r>
      <w:r>
        <w:rPr>
          <w:spacing w:val="-3"/>
        </w:rPr>
        <w:t xml:space="preserve"> </w:t>
      </w:r>
      <w:r>
        <w:t>experiencing</w:t>
      </w:r>
      <w:r>
        <w:rPr>
          <w:spacing w:val="-3"/>
        </w:rPr>
        <w:t xml:space="preserve"> </w:t>
      </w:r>
      <w:r>
        <w:t>higher</w:t>
      </w:r>
      <w:r>
        <w:rPr>
          <w:spacing w:val="-3"/>
        </w:rPr>
        <w:t xml:space="preserve"> </w:t>
      </w:r>
      <w:r>
        <w:t>rates</w:t>
      </w:r>
      <w:r>
        <w:rPr>
          <w:spacing w:val="-3"/>
        </w:rPr>
        <w:t xml:space="preserve"> </w:t>
      </w:r>
      <w:r>
        <w:t>because</w:t>
      </w:r>
      <w:r>
        <w:rPr>
          <w:spacing w:val="-3"/>
        </w:rPr>
        <w:t xml:space="preserve"> </w:t>
      </w:r>
      <w:r>
        <w:t>of</w:t>
      </w:r>
      <w:r>
        <w:rPr>
          <w:spacing w:val="-3"/>
        </w:rPr>
        <w:t xml:space="preserve"> </w:t>
      </w:r>
      <w:r>
        <w:t>increased</w:t>
      </w:r>
      <w:r>
        <w:rPr>
          <w:spacing w:val="-3"/>
        </w:rPr>
        <w:t xml:space="preserve"> </w:t>
      </w:r>
      <w:r>
        <w:t>neonatal</w:t>
      </w:r>
      <w:r>
        <w:rPr>
          <w:spacing w:val="-3"/>
        </w:rPr>
        <w:t xml:space="preserve"> </w:t>
      </w:r>
      <w:r>
        <w:t>infections, inadequate perinatal care, and greater prevalence of</w:t>
      </w:r>
      <w:r>
        <w:rPr>
          <w:spacing w:val="-4"/>
        </w:rPr>
        <w:t xml:space="preserve"> </w:t>
      </w:r>
      <w:r>
        <w:t>post-hemorrhagic</w:t>
      </w:r>
      <w:r>
        <w:rPr>
          <w:spacing w:val="-4"/>
        </w:rPr>
        <w:t xml:space="preserve"> </w:t>
      </w:r>
      <w:r>
        <w:t>hydrocephalus</w:t>
      </w:r>
      <w:r>
        <w:rPr>
          <w:spacing w:val="-4"/>
        </w:rPr>
        <w:t xml:space="preserve"> </w:t>
      </w:r>
      <w:r>
        <w:t xml:space="preserve">in premature infants (Anwar </w:t>
      </w:r>
      <w:r>
        <w:rPr>
          <w:i/>
        </w:rPr>
        <w:t>e</w:t>
      </w:r>
      <w:r>
        <w:rPr>
          <w:i/>
        </w:rPr>
        <w:t>t al.</w:t>
      </w:r>
      <w:r>
        <w:t>, 2024). In adults, the incidence of normal-pressure hydrocephalus rises significantly after 60 years of age and contributes substantially to morbidity related to gait instability and cognitive</w:t>
      </w:r>
      <w:r>
        <w:rPr>
          <w:spacing w:val="-4"/>
        </w:rPr>
        <w:t xml:space="preserve"> </w:t>
      </w:r>
      <w:r>
        <w:t>decline</w:t>
      </w:r>
      <w:r>
        <w:rPr>
          <w:spacing w:val="-4"/>
        </w:rPr>
        <w:t xml:space="preserve"> </w:t>
      </w:r>
      <w:r>
        <w:t>(</w:t>
      </w:r>
      <w:proofErr w:type="spellStart"/>
      <w:r>
        <w:t>Koleva</w:t>
      </w:r>
      <w:proofErr w:type="spellEnd"/>
      <w:r>
        <w:rPr>
          <w:spacing w:val="-4"/>
        </w:rPr>
        <w:t xml:space="preserve"> </w:t>
      </w:r>
      <w:r>
        <w:t>and</w:t>
      </w:r>
      <w:r>
        <w:rPr>
          <w:spacing w:val="-4"/>
        </w:rPr>
        <w:t xml:space="preserve"> </w:t>
      </w:r>
      <w:r>
        <w:t>De</w:t>
      </w:r>
      <w:r>
        <w:rPr>
          <w:spacing w:val="-4"/>
        </w:rPr>
        <w:t xml:space="preserve"> </w:t>
      </w:r>
      <w:proofErr w:type="spellStart"/>
      <w:r>
        <w:t>Yesus</w:t>
      </w:r>
      <w:proofErr w:type="spellEnd"/>
      <w:r>
        <w:t>,</w:t>
      </w:r>
      <w:r>
        <w:rPr>
          <w:spacing w:val="-4"/>
        </w:rPr>
        <w:t xml:space="preserve"> </w:t>
      </w:r>
      <w:r>
        <w:t>2025). These demographic pa</w:t>
      </w:r>
      <w:r>
        <w:t xml:space="preserve">tterns underscore the broad clinical impact of hydrocephalus across populations and health-care systems (Anwar </w:t>
      </w:r>
      <w:r>
        <w:rPr>
          <w:i/>
        </w:rPr>
        <w:t>et al.</w:t>
      </w:r>
      <w:r>
        <w:t>, 2024).</w:t>
      </w:r>
    </w:p>
    <w:p w14:paraId="6A463B8A" w14:textId="77777777" w:rsidR="00F41228" w:rsidRDefault="00F119CE">
      <w:pPr>
        <w:pStyle w:val="BodyText"/>
        <w:spacing w:before="240" w:line="360" w:lineRule="auto"/>
        <w:ind w:left="1" w:right="15" w:firstLine="720"/>
        <w:jc w:val="both"/>
      </w:pPr>
      <w:r>
        <w:t>The global prevalence of CLP ranges between 1:600 and 1:800 live births, making it one of the most frequently encountered congenit</w:t>
      </w:r>
      <w:r>
        <w:t>al craniofacial anomalies (</w:t>
      </w:r>
      <w:proofErr w:type="spellStart"/>
      <w:r>
        <w:t>Khairotin</w:t>
      </w:r>
      <w:proofErr w:type="spellEnd"/>
      <w:r>
        <w:t>, 2025). Ethnic variations are significant, with Asian populations showing higher rates and African populations showing the lowest reported incidences (Chaudhary, 2022). Regional differences are influenced by genetic pre</w:t>
      </w:r>
      <w:r>
        <w:t>disposition, environmental exposures, and variations in maternal health (Chaudhary, 2022). In Indonesia, the prevalence is estimated at up to 1.23 per 1,000 live births, amounting to thousands of new cases yearly (</w:t>
      </w:r>
      <w:proofErr w:type="spellStart"/>
      <w:r>
        <w:t>Khairotin</w:t>
      </w:r>
      <w:proofErr w:type="spellEnd"/>
      <w:r>
        <w:t>, 2025).</w:t>
      </w:r>
    </w:p>
    <w:p w14:paraId="23670390" w14:textId="77777777" w:rsidR="00F41228" w:rsidRDefault="00F119CE">
      <w:pPr>
        <w:pStyle w:val="BodyText"/>
        <w:spacing w:before="240" w:line="360" w:lineRule="auto"/>
        <w:ind w:left="1" w:right="15" w:firstLine="720"/>
        <w:jc w:val="both"/>
      </w:pPr>
      <w:r>
        <w:t>Epidemiological patterns also reveal sex-linked tendencies, where cleft lip with or without cleft palate is more common in males, while isolated cleft palate is more common in females (Chaudhary, 2022). The distribution of unilateral versus bilateral cleft</w:t>
      </w:r>
      <w:r>
        <w:t>s shows a clear dominance of unilateral defects, particularly on the left side in approximately 70% of</w:t>
      </w:r>
      <w:r>
        <w:rPr>
          <w:spacing w:val="-5"/>
        </w:rPr>
        <w:t xml:space="preserve"> </w:t>
      </w:r>
      <w:r>
        <w:t>cases</w:t>
      </w:r>
      <w:r>
        <w:rPr>
          <w:spacing w:val="-5"/>
        </w:rPr>
        <w:t xml:space="preserve"> </w:t>
      </w:r>
      <w:r>
        <w:t>(Chaudhary,</w:t>
      </w:r>
      <w:r>
        <w:rPr>
          <w:spacing w:val="-5"/>
        </w:rPr>
        <w:t xml:space="preserve"> </w:t>
      </w:r>
      <w:r>
        <w:t>2022).</w:t>
      </w:r>
      <w:r>
        <w:rPr>
          <w:spacing w:val="-5"/>
        </w:rPr>
        <w:t xml:space="preserve"> </w:t>
      </w:r>
      <w:r>
        <w:t>Syndromic</w:t>
      </w:r>
      <w:r>
        <w:rPr>
          <w:spacing w:val="-5"/>
        </w:rPr>
        <w:t xml:space="preserve"> </w:t>
      </w:r>
      <w:r>
        <w:t>associations</w:t>
      </w:r>
      <w:r>
        <w:rPr>
          <w:spacing w:val="-5"/>
        </w:rPr>
        <w:t xml:space="preserve"> </w:t>
      </w:r>
      <w:r>
        <w:t>occur</w:t>
      </w:r>
      <w:r>
        <w:rPr>
          <w:spacing w:val="-5"/>
        </w:rPr>
        <w:t xml:space="preserve"> </w:t>
      </w:r>
      <w:r>
        <w:t>in</w:t>
      </w:r>
      <w:r>
        <w:rPr>
          <w:spacing w:val="-5"/>
        </w:rPr>
        <w:t xml:space="preserve"> </w:t>
      </w:r>
      <w:r>
        <w:t>nearly half of CLP cases, especially conditions such as Pierre Robin Sequence and Apert Syndrome</w:t>
      </w:r>
      <w:r>
        <w:t xml:space="preserve"> (Chaudhary, 2022). These epidemiological insights underscore the need for robust public health surveillance and early referral systems in pediatric care settings (</w:t>
      </w:r>
      <w:proofErr w:type="spellStart"/>
      <w:r>
        <w:t>Allareddy</w:t>
      </w:r>
      <w:proofErr w:type="spellEnd"/>
      <w:r>
        <w:t xml:space="preserve"> et al., 2021).</w:t>
      </w:r>
    </w:p>
    <w:p w14:paraId="42006A67" w14:textId="77777777" w:rsidR="00F41228" w:rsidRDefault="00F41228">
      <w:pPr>
        <w:pStyle w:val="BodyText"/>
        <w:spacing w:line="360" w:lineRule="auto"/>
        <w:jc w:val="both"/>
        <w:sectPr w:rsidR="00F41228">
          <w:pgSz w:w="11920" w:h="16840"/>
          <w:pgMar w:top="1640" w:right="1700" w:bottom="1200" w:left="1700" w:header="0" w:footer="1000" w:gutter="0"/>
          <w:cols w:space="720"/>
        </w:sectPr>
      </w:pPr>
    </w:p>
    <w:p w14:paraId="24FEC903" w14:textId="46238765" w:rsidR="00F41228" w:rsidRDefault="00F41228">
      <w:pPr>
        <w:spacing w:before="68"/>
        <w:ind w:left="5396"/>
        <w:rPr>
          <w:i/>
        </w:rPr>
      </w:pPr>
    </w:p>
    <w:p w14:paraId="5D723887" w14:textId="77777777" w:rsidR="00F41228" w:rsidRDefault="00F41228">
      <w:pPr>
        <w:pStyle w:val="BodyText"/>
        <w:rPr>
          <w:i/>
        </w:rPr>
      </w:pPr>
    </w:p>
    <w:p w14:paraId="01EF74FA" w14:textId="77777777" w:rsidR="00F41228" w:rsidRDefault="00F41228">
      <w:pPr>
        <w:pStyle w:val="BodyText"/>
        <w:spacing w:before="188"/>
        <w:rPr>
          <w:i/>
        </w:rPr>
      </w:pPr>
    </w:p>
    <w:p w14:paraId="5A675DCE" w14:textId="77777777" w:rsidR="00F41228" w:rsidRDefault="00F119CE">
      <w:pPr>
        <w:pStyle w:val="Heading2"/>
        <w:spacing w:before="0"/>
      </w:pPr>
      <w:r>
        <w:rPr>
          <w:spacing w:val="-2"/>
        </w:rPr>
        <w:t>Etiology</w:t>
      </w:r>
    </w:p>
    <w:p w14:paraId="4A869083" w14:textId="77777777" w:rsidR="00F41228" w:rsidRDefault="00F41228">
      <w:pPr>
        <w:pStyle w:val="BodyText"/>
        <w:spacing w:before="102"/>
        <w:rPr>
          <w:b/>
        </w:rPr>
      </w:pPr>
    </w:p>
    <w:p w14:paraId="2762D8EB" w14:textId="77777777" w:rsidR="00F41228" w:rsidRDefault="00F119CE">
      <w:pPr>
        <w:pStyle w:val="BodyText"/>
        <w:spacing w:line="360" w:lineRule="auto"/>
        <w:ind w:left="1" w:right="13" w:firstLine="720"/>
        <w:jc w:val="both"/>
      </w:pPr>
      <w:r>
        <w:t>Hyd</w:t>
      </w:r>
      <w:r>
        <w:t>rocephalus arises from a</w:t>
      </w:r>
      <w:r>
        <w:rPr>
          <w:spacing w:val="-3"/>
        </w:rPr>
        <w:t xml:space="preserve"> </w:t>
      </w:r>
      <w:r>
        <w:t>wide</w:t>
      </w:r>
      <w:r>
        <w:rPr>
          <w:spacing w:val="-3"/>
        </w:rPr>
        <w:t xml:space="preserve"> </w:t>
      </w:r>
      <w:r>
        <w:t>range</w:t>
      </w:r>
      <w:r>
        <w:rPr>
          <w:spacing w:val="-3"/>
        </w:rPr>
        <w:t xml:space="preserve"> </w:t>
      </w:r>
      <w:r>
        <w:t>of</w:t>
      </w:r>
      <w:r>
        <w:rPr>
          <w:spacing w:val="-3"/>
        </w:rPr>
        <w:t xml:space="preserve"> </w:t>
      </w:r>
      <w:r>
        <w:t>congenital</w:t>
      </w:r>
      <w:r>
        <w:rPr>
          <w:spacing w:val="-3"/>
        </w:rPr>
        <w:t xml:space="preserve"> </w:t>
      </w:r>
      <w:r>
        <w:t>and</w:t>
      </w:r>
      <w:r>
        <w:rPr>
          <w:spacing w:val="-3"/>
        </w:rPr>
        <w:t xml:space="preserve"> </w:t>
      </w:r>
      <w:r>
        <w:t>acquired</w:t>
      </w:r>
      <w:r>
        <w:rPr>
          <w:spacing w:val="-3"/>
        </w:rPr>
        <w:t xml:space="preserve"> </w:t>
      </w:r>
      <w:r>
        <w:t>causes,</w:t>
      </w:r>
      <w:r>
        <w:rPr>
          <w:spacing w:val="-3"/>
        </w:rPr>
        <w:t xml:space="preserve"> </w:t>
      </w:r>
      <w:r>
        <w:t xml:space="preserve">each altering CSF physiology through different mechanisms. Congenital hydrocephalus frequently results from neural tube defects, </w:t>
      </w:r>
      <w:proofErr w:type="spellStart"/>
      <w:r>
        <w:t>aqueductal</w:t>
      </w:r>
      <w:proofErr w:type="spellEnd"/>
      <w:r>
        <w:t xml:space="preserve"> stenosis, Dandy–Walker malformation, or Arnol</w:t>
      </w:r>
      <w:r>
        <w:t>d–Chiari malformations, all of which disrupt normal CSF pathways during early brain development (</w:t>
      </w:r>
      <w:proofErr w:type="spellStart"/>
      <w:r>
        <w:t>Permana</w:t>
      </w:r>
      <w:proofErr w:type="spellEnd"/>
      <w:r>
        <w:t xml:space="preserve">, 2018). Genetic contributions, including mutations in L1CAM, CCDC88C, and AP1S2, have been identified as significant factors influencing CSF transport </w:t>
      </w:r>
      <w:r>
        <w:t xml:space="preserve">defects and ventricular enlargement (Yousaf </w:t>
      </w:r>
      <w:r>
        <w:rPr>
          <w:i/>
        </w:rPr>
        <w:t xml:space="preserve">et al., </w:t>
      </w:r>
      <w:r>
        <w:t>2018). Acquired hydrocephalus may develop secondary to intraventricular hemorrhage, bacterial meningitis, traumatic brain injury, brain tumors, or subarachnoid hemorrhage, each of which interferes</w:t>
      </w:r>
      <w:r>
        <w:rPr>
          <w:spacing w:val="-3"/>
        </w:rPr>
        <w:t xml:space="preserve"> </w:t>
      </w:r>
      <w:r>
        <w:t>with</w:t>
      </w:r>
      <w:r>
        <w:rPr>
          <w:spacing w:val="-3"/>
        </w:rPr>
        <w:t xml:space="preserve"> </w:t>
      </w:r>
      <w:r>
        <w:t>CS</w:t>
      </w:r>
      <w:r>
        <w:t>F</w:t>
      </w:r>
      <w:r>
        <w:rPr>
          <w:spacing w:val="-3"/>
        </w:rPr>
        <w:t xml:space="preserve"> </w:t>
      </w:r>
      <w:r>
        <w:t>absorption</w:t>
      </w:r>
      <w:r>
        <w:rPr>
          <w:spacing w:val="-3"/>
        </w:rPr>
        <w:t xml:space="preserve"> </w:t>
      </w:r>
      <w:r>
        <w:t>or</w:t>
      </w:r>
      <w:r>
        <w:rPr>
          <w:spacing w:val="-3"/>
        </w:rPr>
        <w:t xml:space="preserve"> </w:t>
      </w:r>
      <w:r>
        <w:t>obstructs ventricular flow (</w:t>
      </w:r>
      <w:proofErr w:type="spellStart"/>
      <w:r>
        <w:t>Koleva</w:t>
      </w:r>
      <w:proofErr w:type="spellEnd"/>
      <w:r>
        <w:t xml:space="preserve"> and De </w:t>
      </w:r>
      <w:proofErr w:type="spellStart"/>
      <w:r>
        <w:t>Yesus</w:t>
      </w:r>
      <w:proofErr w:type="spellEnd"/>
      <w:r>
        <w:t xml:space="preserve">, 2025). Tumors such as craniopharyngiomas, ependymomas, and choroid plexus </w:t>
      </w:r>
      <w:proofErr w:type="spellStart"/>
      <w:r>
        <w:t>papillomas</w:t>
      </w:r>
      <w:proofErr w:type="spellEnd"/>
      <w:r>
        <w:t xml:space="preserve"> can directly impede CSF movement through the ventricular pathways</w:t>
      </w:r>
      <w:r>
        <w:rPr>
          <w:spacing w:val="-2"/>
        </w:rPr>
        <w:t xml:space="preserve"> </w:t>
      </w:r>
      <w:r>
        <w:t>and</w:t>
      </w:r>
      <w:r>
        <w:rPr>
          <w:spacing w:val="-2"/>
        </w:rPr>
        <w:t xml:space="preserve"> </w:t>
      </w:r>
      <w:r>
        <w:t>remain</w:t>
      </w:r>
      <w:r>
        <w:rPr>
          <w:spacing w:val="-2"/>
        </w:rPr>
        <w:t xml:space="preserve"> </w:t>
      </w:r>
      <w:r>
        <w:t>among</w:t>
      </w:r>
      <w:r>
        <w:rPr>
          <w:spacing w:val="-2"/>
        </w:rPr>
        <w:t xml:space="preserve"> </w:t>
      </w:r>
      <w:r>
        <w:t>the</w:t>
      </w:r>
      <w:r>
        <w:rPr>
          <w:spacing w:val="-2"/>
        </w:rPr>
        <w:t xml:space="preserve"> </w:t>
      </w:r>
      <w:r>
        <w:t>most</w:t>
      </w:r>
      <w:r>
        <w:rPr>
          <w:spacing w:val="-2"/>
        </w:rPr>
        <w:t xml:space="preserve"> </w:t>
      </w:r>
      <w:r>
        <w:t>common</w:t>
      </w:r>
      <w:r>
        <w:rPr>
          <w:spacing w:val="-2"/>
        </w:rPr>
        <w:t xml:space="preserve"> </w:t>
      </w:r>
      <w:r>
        <w:t>structu</w:t>
      </w:r>
      <w:r>
        <w:t>ral</w:t>
      </w:r>
      <w:r>
        <w:rPr>
          <w:spacing w:val="-2"/>
        </w:rPr>
        <w:t xml:space="preserve"> </w:t>
      </w:r>
      <w:r>
        <w:t xml:space="preserve">causes of obstructive hydrocephalus (Anwar </w:t>
      </w:r>
      <w:r>
        <w:rPr>
          <w:i/>
        </w:rPr>
        <w:t>et al.</w:t>
      </w:r>
      <w:r>
        <w:t xml:space="preserve">, 2024). These diverse etiological pathways reflect the complexity of CSF regulation in maintaining intracranial homeostasis (Yousaf </w:t>
      </w:r>
      <w:r>
        <w:rPr>
          <w:i/>
        </w:rPr>
        <w:t xml:space="preserve">et al., </w:t>
      </w:r>
      <w:r>
        <w:t>2018).</w:t>
      </w:r>
    </w:p>
    <w:p w14:paraId="1628755B" w14:textId="77777777" w:rsidR="00F41228" w:rsidRDefault="00F119CE">
      <w:pPr>
        <w:pStyle w:val="BodyText"/>
        <w:spacing w:before="240" w:line="360" w:lineRule="auto"/>
        <w:ind w:left="1" w:right="13" w:firstLine="720"/>
        <w:jc w:val="both"/>
      </w:pPr>
      <w:r>
        <w:t>CLP originates from disrupted embryologic fusion processes occurring</w:t>
      </w:r>
      <w:r>
        <w:rPr>
          <w:spacing w:val="-4"/>
        </w:rPr>
        <w:t xml:space="preserve"> </w:t>
      </w:r>
      <w:r>
        <w:t>between the 4th and 12th week of gestation, depending on whether the lip or palate is affected (Chaudhary, 2022). Genetic factors play a major role, with</w:t>
      </w:r>
      <w:r>
        <w:rPr>
          <w:spacing w:val="-4"/>
        </w:rPr>
        <w:t xml:space="preserve"> </w:t>
      </w:r>
      <w:r>
        <w:t>mutations</w:t>
      </w:r>
      <w:r>
        <w:rPr>
          <w:spacing w:val="-4"/>
        </w:rPr>
        <w:t xml:space="preserve"> </w:t>
      </w:r>
      <w:r>
        <w:t>in</w:t>
      </w:r>
      <w:r>
        <w:rPr>
          <w:spacing w:val="-4"/>
        </w:rPr>
        <w:t xml:space="preserve"> </w:t>
      </w:r>
      <w:r>
        <w:t>key</w:t>
      </w:r>
      <w:r>
        <w:rPr>
          <w:spacing w:val="-4"/>
        </w:rPr>
        <w:t xml:space="preserve"> </w:t>
      </w:r>
      <w:r>
        <w:t>genes</w:t>
      </w:r>
      <w:r>
        <w:rPr>
          <w:spacing w:val="-4"/>
        </w:rPr>
        <w:t xml:space="preserve"> </w:t>
      </w:r>
      <w:r>
        <w:t>such as IR</w:t>
      </w:r>
      <w:r>
        <w:t>F6, TFAP2A, and GRHL3 impairing neural crest</w:t>
      </w:r>
      <w:r>
        <w:rPr>
          <w:spacing w:val="-4"/>
        </w:rPr>
        <w:t xml:space="preserve"> </w:t>
      </w:r>
      <w:r>
        <w:t>cell</w:t>
      </w:r>
      <w:r>
        <w:rPr>
          <w:spacing w:val="-4"/>
        </w:rPr>
        <w:t xml:space="preserve"> </w:t>
      </w:r>
      <w:r>
        <w:t>migration</w:t>
      </w:r>
      <w:r>
        <w:rPr>
          <w:spacing w:val="-4"/>
        </w:rPr>
        <w:t xml:space="preserve"> </w:t>
      </w:r>
      <w:r>
        <w:t>and</w:t>
      </w:r>
      <w:r>
        <w:rPr>
          <w:spacing w:val="-4"/>
        </w:rPr>
        <w:t xml:space="preserve"> </w:t>
      </w:r>
      <w:r>
        <w:t>mesenchymal proliferation (Chaudhary, 2022). These disruptions lead to incomplete fusion of facial processes, resulting in clefts that span varying depths and anatomical locations (</w:t>
      </w:r>
      <w:proofErr w:type="spellStart"/>
      <w:r>
        <w:t>Dewi</w:t>
      </w:r>
      <w:proofErr w:type="spellEnd"/>
      <w:r>
        <w:t>, 2019)</w:t>
      </w:r>
      <w:r>
        <w:t>. The resulting defect compromises both anatomical integrity and functional stability of the lip and palate (</w:t>
      </w:r>
      <w:proofErr w:type="spellStart"/>
      <w:r>
        <w:t>Nugraha</w:t>
      </w:r>
      <w:proofErr w:type="spellEnd"/>
      <w:r>
        <w:t xml:space="preserve"> et al., 2023).</w:t>
      </w:r>
    </w:p>
    <w:p w14:paraId="292AF090" w14:textId="77777777" w:rsidR="00F41228" w:rsidRDefault="00F41228">
      <w:pPr>
        <w:pStyle w:val="BodyText"/>
        <w:spacing w:before="138"/>
      </w:pPr>
    </w:p>
    <w:p w14:paraId="6F5B893E" w14:textId="77777777" w:rsidR="00F41228" w:rsidRDefault="00F119CE">
      <w:pPr>
        <w:pStyle w:val="BodyText"/>
        <w:spacing w:line="360" w:lineRule="auto"/>
        <w:ind w:left="1" w:right="17" w:firstLine="720"/>
        <w:jc w:val="both"/>
      </w:pPr>
      <w:r>
        <w:t>Environmental factors amplify the risk of CLP by interacting with genetic vulnerabilities, particularly maternal smoking, alcohol consumption, viral infections, nutritional deficiencies, and teratogenic medications (</w:t>
      </w:r>
      <w:proofErr w:type="spellStart"/>
      <w:r>
        <w:t>Nugraha</w:t>
      </w:r>
      <w:proofErr w:type="spellEnd"/>
      <w:r>
        <w:t xml:space="preserve"> et al., 2023). These exposures d</w:t>
      </w:r>
      <w:r>
        <w:t>isrupt embryonic cellular signaling pathways and impair normal facial fusion</w:t>
      </w:r>
      <w:r>
        <w:rPr>
          <w:spacing w:val="12"/>
        </w:rPr>
        <w:t xml:space="preserve"> </w:t>
      </w:r>
      <w:r>
        <w:t>during</w:t>
      </w:r>
      <w:r>
        <w:rPr>
          <w:spacing w:val="13"/>
        </w:rPr>
        <w:t xml:space="preserve"> </w:t>
      </w:r>
      <w:r>
        <w:t>critical</w:t>
      </w:r>
      <w:r>
        <w:rPr>
          <w:spacing w:val="-1"/>
        </w:rPr>
        <w:t xml:space="preserve"> </w:t>
      </w:r>
      <w:r>
        <w:t>developmental</w:t>
      </w:r>
      <w:r>
        <w:rPr>
          <w:spacing w:val="-2"/>
        </w:rPr>
        <w:t xml:space="preserve"> </w:t>
      </w:r>
      <w:r>
        <w:t>windows</w:t>
      </w:r>
      <w:r>
        <w:rPr>
          <w:spacing w:val="-2"/>
        </w:rPr>
        <w:t xml:space="preserve"> </w:t>
      </w:r>
      <w:r>
        <w:t>(Chaudhary,</w:t>
      </w:r>
      <w:r>
        <w:rPr>
          <w:spacing w:val="-1"/>
        </w:rPr>
        <w:t xml:space="preserve"> </w:t>
      </w:r>
      <w:r>
        <w:t>2022).</w:t>
      </w:r>
      <w:r>
        <w:rPr>
          <w:spacing w:val="-2"/>
        </w:rPr>
        <w:t xml:space="preserve"> </w:t>
      </w:r>
      <w:r>
        <w:t>The</w:t>
      </w:r>
      <w:r>
        <w:rPr>
          <w:spacing w:val="-2"/>
        </w:rPr>
        <w:t xml:space="preserve"> </w:t>
      </w:r>
      <w:r>
        <w:t>structural</w:t>
      </w:r>
      <w:r>
        <w:rPr>
          <w:spacing w:val="-1"/>
        </w:rPr>
        <w:t xml:space="preserve"> </w:t>
      </w:r>
      <w:r>
        <w:rPr>
          <w:spacing w:val="-2"/>
        </w:rPr>
        <w:t>defects</w:t>
      </w:r>
    </w:p>
    <w:p w14:paraId="25AD13EC" w14:textId="77777777" w:rsidR="00F41228" w:rsidRDefault="00F41228">
      <w:pPr>
        <w:pStyle w:val="BodyText"/>
        <w:spacing w:line="360" w:lineRule="auto"/>
        <w:jc w:val="both"/>
        <w:sectPr w:rsidR="00F41228">
          <w:pgSz w:w="11920" w:h="16840"/>
          <w:pgMar w:top="640" w:right="1700" w:bottom="1180" w:left="1700" w:header="0" w:footer="1000" w:gutter="0"/>
          <w:cols w:space="720"/>
        </w:sectPr>
      </w:pPr>
    </w:p>
    <w:p w14:paraId="7BE21D12" w14:textId="77777777" w:rsidR="00F41228" w:rsidRDefault="00F119CE">
      <w:pPr>
        <w:pStyle w:val="BodyText"/>
        <w:spacing w:before="61" w:line="360" w:lineRule="auto"/>
        <w:ind w:left="1" w:right="15"/>
        <w:jc w:val="both"/>
      </w:pPr>
      <w:r>
        <w:lastRenderedPageBreak/>
        <w:t>that</w:t>
      </w:r>
      <w:r>
        <w:rPr>
          <w:spacing w:val="40"/>
        </w:rPr>
        <w:t xml:space="preserve"> </w:t>
      </w:r>
      <w:r>
        <w:t>occur</w:t>
      </w:r>
      <w:r>
        <w:rPr>
          <w:spacing w:val="40"/>
        </w:rPr>
        <w:t xml:space="preserve"> </w:t>
      </w:r>
      <w:r>
        <w:t>subsequently impair feeding, phonation, velopharyngeal closure, and</w:t>
      </w:r>
      <w:r>
        <w:rPr>
          <w:spacing w:val="40"/>
        </w:rPr>
        <w:t xml:space="preserve"> </w:t>
      </w:r>
      <w:r>
        <w:t>mi</w:t>
      </w:r>
      <w:r>
        <w:t>ddle-ear ventilation (</w:t>
      </w:r>
      <w:proofErr w:type="spellStart"/>
      <w:r>
        <w:t>Dewi</w:t>
      </w:r>
      <w:proofErr w:type="spellEnd"/>
      <w:r>
        <w:t>, 2019). As a result, CLP presents a complex interplay of genetic, environmental, and developmental factors leading to long-term functional consequences (</w:t>
      </w:r>
      <w:proofErr w:type="spellStart"/>
      <w:r>
        <w:t>Allareddy</w:t>
      </w:r>
      <w:proofErr w:type="spellEnd"/>
      <w:r>
        <w:t xml:space="preserve"> et al., 2021).</w:t>
      </w:r>
    </w:p>
    <w:p w14:paraId="2C8241AA" w14:textId="77777777" w:rsidR="00F41228" w:rsidRDefault="00F119CE">
      <w:pPr>
        <w:pStyle w:val="Heading2"/>
      </w:pPr>
      <w:r>
        <w:rPr>
          <w:spacing w:val="-2"/>
        </w:rPr>
        <w:t>Pathophysiology</w:t>
      </w:r>
    </w:p>
    <w:p w14:paraId="1C1DCFA2" w14:textId="77777777" w:rsidR="00F41228" w:rsidRDefault="00F41228">
      <w:pPr>
        <w:pStyle w:val="BodyText"/>
        <w:spacing w:before="102"/>
        <w:rPr>
          <w:b/>
        </w:rPr>
      </w:pPr>
    </w:p>
    <w:p w14:paraId="3EB32828" w14:textId="77777777" w:rsidR="00F41228" w:rsidRDefault="00F119CE">
      <w:pPr>
        <w:pStyle w:val="BodyText"/>
        <w:spacing w:line="360" w:lineRule="auto"/>
        <w:ind w:left="1" w:right="13" w:firstLine="720"/>
        <w:jc w:val="both"/>
      </w:pPr>
      <w:r>
        <w:t>CSF is produced by the choroid ple</w:t>
      </w:r>
      <w:r>
        <w:t>xus at a steady rate of approximately 0.35 mL/min, amounting to roughly 500 mL daily, while the total intracranial CSF volume remains between 120 and 150 mL in adults (</w:t>
      </w:r>
      <w:proofErr w:type="spellStart"/>
      <w:r>
        <w:t>Permana</w:t>
      </w:r>
      <w:proofErr w:type="spellEnd"/>
      <w:r>
        <w:t>, 2018). The physiological circulation of CSF follows a defined route from the la</w:t>
      </w:r>
      <w:r>
        <w:t>teral ventricles to the third ventricle, through the aqueduct of Sylvius to the fourth ventricle, and finally into the subarachnoid space for absorption via the arachnoid granulations (</w:t>
      </w:r>
      <w:proofErr w:type="spellStart"/>
      <w:r>
        <w:t>Koleva</w:t>
      </w:r>
      <w:proofErr w:type="spellEnd"/>
      <w:r>
        <w:t xml:space="preserve"> and De</w:t>
      </w:r>
      <w:r>
        <w:rPr>
          <w:spacing w:val="40"/>
        </w:rPr>
        <w:t xml:space="preserve"> </w:t>
      </w:r>
      <w:proofErr w:type="spellStart"/>
      <w:r>
        <w:t>Yesus</w:t>
      </w:r>
      <w:proofErr w:type="spellEnd"/>
      <w:r>
        <w:t>, 2025). Hydrocephalus results when this delicate ba</w:t>
      </w:r>
      <w:r>
        <w:t>lance is disrupted by obstruction, impaired absorption, or excessive production. Molecular processes contribute significantly to disease progression, including aquaporin dysregulation affecting water transport, impairment of the glymphatic system which nor</w:t>
      </w:r>
      <w:r>
        <w:t xml:space="preserve">mally facilitates waste clearance, overactivation of NKCC1 leading to increased intracellular ion flux, and neuroinflammatory responses mediated through TLR4 and cytokine signaling (Yousaf </w:t>
      </w:r>
      <w:r>
        <w:rPr>
          <w:i/>
        </w:rPr>
        <w:t xml:space="preserve">et al., </w:t>
      </w:r>
      <w:r>
        <w:t xml:space="preserve">2018). According to the </w:t>
      </w:r>
      <w:proofErr w:type="spellStart"/>
      <w:r>
        <w:t>Monro</w:t>
      </w:r>
      <w:proofErr w:type="spellEnd"/>
      <w:r>
        <w:t>–Kellie doctrine, increases in</w:t>
      </w:r>
      <w:r>
        <w:t xml:space="preserve"> CSF volume raise intracranial pressure, promoting </w:t>
      </w:r>
      <w:proofErr w:type="spellStart"/>
      <w:r>
        <w:t>transependymal</w:t>
      </w:r>
      <w:proofErr w:type="spellEnd"/>
      <w:r>
        <w:t xml:space="preserve"> CSF migration into periventricular white matter and resulting in tissue stretching, axonal injury, and progressive neurological</w:t>
      </w:r>
      <w:r>
        <w:rPr>
          <w:spacing w:val="-4"/>
        </w:rPr>
        <w:t xml:space="preserve"> </w:t>
      </w:r>
      <w:r>
        <w:t>dysfunction</w:t>
      </w:r>
      <w:r>
        <w:rPr>
          <w:spacing w:val="-4"/>
        </w:rPr>
        <w:t xml:space="preserve"> </w:t>
      </w:r>
      <w:r>
        <w:t>(</w:t>
      </w:r>
      <w:proofErr w:type="spellStart"/>
      <w:r>
        <w:t>Permana</w:t>
      </w:r>
      <w:proofErr w:type="spellEnd"/>
      <w:r>
        <w:t>,</w:t>
      </w:r>
      <w:r>
        <w:rPr>
          <w:spacing w:val="-4"/>
        </w:rPr>
        <w:t xml:space="preserve"> </w:t>
      </w:r>
      <w:r>
        <w:t>2018).</w:t>
      </w:r>
      <w:r>
        <w:rPr>
          <w:spacing w:val="-4"/>
        </w:rPr>
        <w:t xml:space="preserve"> </w:t>
      </w:r>
      <w:r>
        <w:t>These</w:t>
      </w:r>
      <w:r>
        <w:rPr>
          <w:spacing w:val="-4"/>
        </w:rPr>
        <w:t xml:space="preserve"> </w:t>
      </w:r>
      <w:r>
        <w:t>combined</w:t>
      </w:r>
      <w:r>
        <w:rPr>
          <w:spacing w:val="-4"/>
        </w:rPr>
        <w:t xml:space="preserve"> </w:t>
      </w:r>
      <w:r>
        <w:t>mechanical</w:t>
      </w:r>
      <w:r>
        <w:rPr>
          <w:spacing w:val="-4"/>
        </w:rPr>
        <w:t xml:space="preserve"> </w:t>
      </w:r>
      <w:r>
        <w:t>and mol</w:t>
      </w:r>
      <w:r>
        <w:t xml:space="preserve">ecular mechanisms explain the diverse clinical manifestations observed in hydrocephalus (Yousaf </w:t>
      </w:r>
      <w:r>
        <w:rPr>
          <w:i/>
        </w:rPr>
        <w:t xml:space="preserve">et al., </w:t>
      </w:r>
      <w:r>
        <w:t>2018).</w:t>
      </w:r>
    </w:p>
    <w:p w14:paraId="7A186A1C" w14:textId="77777777" w:rsidR="00F41228" w:rsidRDefault="00F119CE">
      <w:pPr>
        <w:pStyle w:val="Heading2"/>
      </w:pPr>
      <w:r>
        <w:t xml:space="preserve">Clinical </w:t>
      </w:r>
      <w:r>
        <w:rPr>
          <w:spacing w:val="-2"/>
        </w:rPr>
        <w:t>Manifestations</w:t>
      </w:r>
    </w:p>
    <w:p w14:paraId="15AB9D60" w14:textId="77777777" w:rsidR="00F41228" w:rsidRDefault="00F41228">
      <w:pPr>
        <w:pStyle w:val="BodyText"/>
        <w:spacing w:before="102"/>
        <w:rPr>
          <w:b/>
        </w:rPr>
      </w:pPr>
    </w:p>
    <w:p w14:paraId="73C1203F" w14:textId="77777777" w:rsidR="00F41228" w:rsidRDefault="00F119CE">
      <w:pPr>
        <w:pStyle w:val="BodyText"/>
        <w:spacing w:line="360" w:lineRule="auto"/>
        <w:ind w:left="1" w:right="13" w:firstLine="720"/>
        <w:jc w:val="both"/>
      </w:pPr>
      <w:r>
        <w:t>Clinical presentation varies with age, underlying cause, and rate of CSF accumulation. Infants often present with rapidl</w:t>
      </w:r>
      <w:r>
        <w:t>y increasing head circumference, macrocephaly, bulging anterior fontanelle, scalp vein distension, irritability, poor feeding, recurrent vomiting, and the classical “sunset eye sign” due to pressure on the dorsal midbrain (</w:t>
      </w:r>
      <w:proofErr w:type="spellStart"/>
      <w:r>
        <w:t>Permana</w:t>
      </w:r>
      <w:proofErr w:type="spellEnd"/>
      <w:r>
        <w:t>, 2018). In older children</w:t>
      </w:r>
      <w:r>
        <w:t xml:space="preserve"> and adults, symptoms reflect increased</w:t>
      </w:r>
      <w:r>
        <w:rPr>
          <w:spacing w:val="58"/>
          <w:w w:val="150"/>
        </w:rPr>
        <w:t xml:space="preserve"> </w:t>
      </w:r>
      <w:r>
        <w:t>intracranial</w:t>
      </w:r>
      <w:r>
        <w:rPr>
          <w:spacing w:val="58"/>
          <w:w w:val="150"/>
        </w:rPr>
        <w:t xml:space="preserve"> </w:t>
      </w:r>
      <w:r>
        <w:t>pressure</w:t>
      </w:r>
      <w:r>
        <w:rPr>
          <w:spacing w:val="58"/>
          <w:w w:val="150"/>
        </w:rPr>
        <w:t xml:space="preserve"> </w:t>
      </w:r>
      <w:r>
        <w:t>and</w:t>
      </w:r>
      <w:r>
        <w:rPr>
          <w:spacing w:val="58"/>
          <w:w w:val="150"/>
        </w:rPr>
        <w:t xml:space="preserve"> </w:t>
      </w:r>
      <w:r>
        <w:t>white</w:t>
      </w:r>
      <w:r>
        <w:rPr>
          <w:spacing w:val="58"/>
          <w:w w:val="150"/>
        </w:rPr>
        <w:t xml:space="preserve"> </w:t>
      </w:r>
      <w:r>
        <w:t>matter</w:t>
      </w:r>
      <w:r>
        <w:rPr>
          <w:spacing w:val="58"/>
          <w:w w:val="150"/>
        </w:rPr>
        <w:t xml:space="preserve"> </w:t>
      </w:r>
      <w:r>
        <w:t>injury,</w:t>
      </w:r>
      <w:r>
        <w:rPr>
          <w:spacing w:val="74"/>
        </w:rPr>
        <w:t xml:space="preserve"> </w:t>
      </w:r>
      <w:r>
        <w:t>manifesting</w:t>
      </w:r>
      <w:r>
        <w:rPr>
          <w:spacing w:val="73"/>
        </w:rPr>
        <w:t xml:space="preserve"> </w:t>
      </w:r>
      <w:r>
        <w:t>as</w:t>
      </w:r>
      <w:r>
        <w:rPr>
          <w:spacing w:val="74"/>
        </w:rPr>
        <w:t xml:space="preserve"> </w:t>
      </w:r>
      <w:r>
        <w:rPr>
          <w:spacing w:val="-2"/>
        </w:rPr>
        <w:t>headache,</w:t>
      </w:r>
    </w:p>
    <w:p w14:paraId="52FF0FD0" w14:textId="77777777" w:rsidR="00F41228" w:rsidRDefault="00F41228">
      <w:pPr>
        <w:pStyle w:val="BodyText"/>
        <w:spacing w:line="360" w:lineRule="auto"/>
        <w:jc w:val="both"/>
        <w:sectPr w:rsidR="00F41228">
          <w:pgSz w:w="11920" w:h="16840"/>
          <w:pgMar w:top="1640" w:right="1700" w:bottom="1200" w:left="1700" w:header="0" w:footer="1000" w:gutter="0"/>
          <w:cols w:space="720"/>
        </w:sectPr>
      </w:pPr>
    </w:p>
    <w:p w14:paraId="3038AA89" w14:textId="77777777" w:rsidR="00F41228" w:rsidRDefault="00F41228">
      <w:pPr>
        <w:pStyle w:val="BodyText"/>
        <w:rPr>
          <w:i/>
          <w:sz w:val="22"/>
        </w:rPr>
      </w:pPr>
    </w:p>
    <w:p w14:paraId="08F30963" w14:textId="77777777" w:rsidR="00F41228" w:rsidRDefault="00F41228">
      <w:pPr>
        <w:pStyle w:val="BodyText"/>
        <w:spacing w:before="234"/>
        <w:rPr>
          <w:i/>
          <w:sz w:val="22"/>
        </w:rPr>
      </w:pPr>
    </w:p>
    <w:p w14:paraId="6EBBD69B" w14:textId="77777777" w:rsidR="00F41228" w:rsidRDefault="00F119CE">
      <w:pPr>
        <w:pStyle w:val="BodyText"/>
        <w:spacing w:line="360" w:lineRule="auto"/>
        <w:ind w:left="1" w:right="15"/>
        <w:jc w:val="both"/>
      </w:pPr>
      <w:r>
        <w:t xml:space="preserve">nausea, vomiting, papilledema, gait instability, visual disturbances, and cognitive decline. Normal-pressure hydrocephalus presents distinctly, with Hakim’s triad of gait disturbance, urinary incontinence, and cognitive impairment, frequently complicating </w:t>
      </w:r>
      <w:r>
        <w:t>diagnosis because ICP may remain within normal limits (</w:t>
      </w:r>
      <w:proofErr w:type="spellStart"/>
      <w:r>
        <w:t>Koleva</w:t>
      </w:r>
      <w:proofErr w:type="spellEnd"/>
      <w:r>
        <w:t xml:space="preserve"> and De </w:t>
      </w:r>
      <w:proofErr w:type="spellStart"/>
      <w:r>
        <w:t>Yesus</w:t>
      </w:r>
      <w:proofErr w:type="spellEnd"/>
      <w:r>
        <w:t>, 2025). Progressive hydrocephalus, if untreated, can lead to long-term neurological deterioration, including motor deficits, seizures, developmental delay, or cognitive regression (</w:t>
      </w:r>
      <w:r>
        <w:t xml:space="preserve">Anwar </w:t>
      </w:r>
      <w:r>
        <w:rPr>
          <w:i/>
        </w:rPr>
        <w:t>et al.</w:t>
      </w:r>
      <w:r>
        <w:t>, 2024).</w:t>
      </w:r>
    </w:p>
    <w:p w14:paraId="3724E8A1" w14:textId="77777777" w:rsidR="00F41228" w:rsidRDefault="00F119CE">
      <w:pPr>
        <w:pStyle w:val="BodyText"/>
        <w:spacing w:before="240" w:line="360" w:lineRule="auto"/>
        <w:ind w:left="1" w:right="20" w:firstLine="720"/>
        <w:jc w:val="both"/>
      </w:pPr>
      <w:r>
        <w:t xml:space="preserve">Infants with CLP typically exhibit feeding difficulties due to an inability </w:t>
      </w:r>
      <w:r>
        <w:t>to create adequate intraoral pressure, leading to poor growth and nasal regurgitation (</w:t>
      </w:r>
      <w:proofErr w:type="spellStart"/>
      <w:r>
        <w:t>Khairotin</w:t>
      </w:r>
      <w:proofErr w:type="spellEnd"/>
      <w:r>
        <w:t>, 2025) . Speech impairments—especially hypernasality and articulation errors—are common due to velopharyngeal insufficiency and</w:t>
      </w:r>
      <w:r>
        <w:rPr>
          <w:spacing w:val="-4"/>
        </w:rPr>
        <w:t xml:space="preserve"> </w:t>
      </w:r>
      <w:r>
        <w:t>the</w:t>
      </w:r>
      <w:r>
        <w:rPr>
          <w:spacing w:val="-4"/>
        </w:rPr>
        <w:t xml:space="preserve"> </w:t>
      </w:r>
      <w:r>
        <w:t>malposition</w:t>
      </w:r>
      <w:r>
        <w:rPr>
          <w:spacing w:val="-4"/>
        </w:rPr>
        <w:t xml:space="preserve"> </w:t>
      </w:r>
      <w:r>
        <w:t>of</w:t>
      </w:r>
      <w:r>
        <w:rPr>
          <w:spacing w:val="-4"/>
        </w:rPr>
        <w:t xml:space="preserve"> </w:t>
      </w:r>
      <w:r>
        <w:t>palatal musc</w:t>
      </w:r>
      <w:r>
        <w:t>ulature (</w:t>
      </w:r>
      <w:proofErr w:type="spellStart"/>
      <w:r>
        <w:t>Dewi</w:t>
      </w:r>
      <w:proofErr w:type="spellEnd"/>
      <w:r>
        <w:t>, 2019). Recurrent otitis media and conductive hearing loss arise</w:t>
      </w:r>
      <w:r>
        <w:rPr>
          <w:spacing w:val="40"/>
        </w:rPr>
        <w:t xml:space="preserve"> </w:t>
      </w:r>
      <w:r>
        <w:t>from Eustachian tube dysfunction resulting from palatal muscle defects (Chaudhary, 2022). These complications can significantly</w:t>
      </w:r>
      <w:r>
        <w:rPr>
          <w:spacing w:val="-4"/>
        </w:rPr>
        <w:t xml:space="preserve"> </w:t>
      </w:r>
      <w:r>
        <w:t>affect</w:t>
      </w:r>
      <w:r>
        <w:rPr>
          <w:spacing w:val="-4"/>
        </w:rPr>
        <w:t xml:space="preserve"> </w:t>
      </w:r>
      <w:r>
        <w:t>early</w:t>
      </w:r>
      <w:r>
        <w:rPr>
          <w:spacing w:val="-4"/>
        </w:rPr>
        <w:t xml:space="preserve"> </w:t>
      </w:r>
      <w:r>
        <w:t>childhood</w:t>
      </w:r>
      <w:r>
        <w:rPr>
          <w:spacing w:val="-4"/>
        </w:rPr>
        <w:t xml:space="preserve"> </w:t>
      </w:r>
      <w:r>
        <w:t>communication</w:t>
      </w:r>
      <w:r>
        <w:rPr>
          <w:spacing w:val="-4"/>
        </w:rPr>
        <w:t xml:space="preserve"> </w:t>
      </w:r>
      <w:r>
        <w:t xml:space="preserve">and overall </w:t>
      </w:r>
      <w:r>
        <w:t>development (</w:t>
      </w:r>
      <w:proofErr w:type="spellStart"/>
      <w:r>
        <w:t>Allareddy</w:t>
      </w:r>
      <w:proofErr w:type="spellEnd"/>
      <w:r>
        <w:t xml:space="preserve"> et al., 2021).</w:t>
      </w:r>
    </w:p>
    <w:p w14:paraId="1DFD26C2" w14:textId="77777777" w:rsidR="00F41228" w:rsidRDefault="00F41228">
      <w:pPr>
        <w:pStyle w:val="BodyText"/>
        <w:spacing w:before="138"/>
      </w:pPr>
    </w:p>
    <w:p w14:paraId="13C491C8" w14:textId="77777777" w:rsidR="00F41228" w:rsidRDefault="00F119CE">
      <w:pPr>
        <w:pStyle w:val="BodyText"/>
        <w:spacing w:line="360" w:lineRule="auto"/>
        <w:ind w:left="1" w:right="14" w:firstLine="720"/>
        <w:jc w:val="both"/>
      </w:pPr>
      <w:r>
        <w:t>Dentally, CLP patients frequently present</w:t>
      </w:r>
      <w:r>
        <w:rPr>
          <w:spacing w:val="-6"/>
        </w:rPr>
        <w:t xml:space="preserve"> </w:t>
      </w:r>
      <w:r>
        <w:t>with</w:t>
      </w:r>
      <w:r>
        <w:rPr>
          <w:spacing w:val="-6"/>
        </w:rPr>
        <w:t xml:space="preserve"> </w:t>
      </w:r>
      <w:r>
        <w:t>hypoplastic</w:t>
      </w:r>
      <w:r>
        <w:rPr>
          <w:spacing w:val="-6"/>
        </w:rPr>
        <w:t xml:space="preserve"> </w:t>
      </w:r>
      <w:r>
        <w:t>enamel,</w:t>
      </w:r>
      <w:r>
        <w:rPr>
          <w:spacing w:val="-6"/>
        </w:rPr>
        <w:t xml:space="preserve"> </w:t>
      </w:r>
      <w:r>
        <w:t>microdontia, ectopic eruptions, and missing or malformed teeth near the cleft region (Chaudhary, 2022). Malocclusions, including crossbites and anteri</w:t>
      </w:r>
      <w:r>
        <w:t>or open bites, often appear due to maxillary growth disturbances and</w:t>
      </w:r>
      <w:r>
        <w:rPr>
          <w:spacing w:val="-4"/>
        </w:rPr>
        <w:t xml:space="preserve"> </w:t>
      </w:r>
      <w:r>
        <w:t>disrupted</w:t>
      </w:r>
      <w:r>
        <w:rPr>
          <w:spacing w:val="-4"/>
        </w:rPr>
        <w:t xml:space="preserve"> </w:t>
      </w:r>
      <w:r>
        <w:t>alveolar</w:t>
      </w:r>
      <w:r>
        <w:rPr>
          <w:spacing w:val="-4"/>
        </w:rPr>
        <w:t xml:space="preserve"> </w:t>
      </w:r>
      <w:r>
        <w:t>anatomy</w:t>
      </w:r>
      <w:r>
        <w:rPr>
          <w:spacing w:val="-4"/>
        </w:rPr>
        <w:t xml:space="preserve"> </w:t>
      </w:r>
      <w:r>
        <w:t>(</w:t>
      </w:r>
      <w:proofErr w:type="spellStart"/>
      <w:r>
        <w:t>Gandedkar</w:t>
      </w:r>
      <w:proofErr w:type="spellEnd"/>
      <w:r>
        <w:rPr>
          <w:spacing w:val="-4"/>
        </w:rPr>
        <w:t xml:space="preserve"> </w:t>
      </w:r>
      <w:r>
        <w:t>et</w:t>
      </w:r>
      <w:r>
        <w:rPr>
          <w:spacing w:val="-4"/>
        </w:rPr>
        <w:t xml:space="preserve"> </w:t>
      </w:r>
      <w:r>
        <w:t>al.,</w:t>
      </w:r>
      <w:r>
        <w:rPr>
          <w:spacing w:val="-4"/>
        </w:rPr>
        <w:t xml:space="preserve"> </w:t>
      </w:r>
      <w:r>
        <w:t>2021). Facial asymmetry, nasal deformities, and maxillary retrusion further contribute to functional and aesthetic concerns (</w:t>
      </w:r>
      <w:proofErr w:type="spellStart"/>
      <w:r>
        <w:t>Eldesouky</w:t>
      </w:r>
      <w:proofErr w:type="spellEnd"/>
      <w:r>
        <w:t xml:space="preserve"> &amp; </w:t>
      </w:r>
      <w:proofErr w:type="spellStart"/>
      <w:r>
        <w:t>Elba</w:t>
      </w:r>
      <w:r>
        <w:t>rbary</w:t>
      </w:r>
      <w:proofErr w:type="spellEnd"/>
      <w:r>
        <w:t>, 2023). Psychosocial issues such as low self-esteem and social stigma may develop without adequate support, impacting mental health and quality of life (</w:t>
      </w:r>
      <w:proofErr w:type="spellStart"/>
      <w:r>
        <w:t>Allareddy</w:t>
      </w:r>
      <w:proofErr w:type="spellEnd"/>
      <w:r>
        <w:t xml:space="preserve"> et al., 2021).</w:t>
      </w:r>
    </w:p>
    <w:p w14:paraId="77196D0F" w14:textId="77777777" w:rsidR="00F41228" w:rsidRDefault="00F119CE">
      <w:pPr>
        <w:pStyle w:val="Heading2"/>
        <w:jc w:val="both"/>
      </w:pPr>
      <w:r>
        <w:t xml:space="preserve">Diagnostic </w:t>
      </w:r>
      <w:r>
        <w:rPr>
          <w:spacing w:val="-2"/>
        </w:rPr>
        <w:t>Evaluation</w:t>
      </w:r>
    </w:p>
    <w:p w14:paraId="2579DCA0" w14:textId="77777777" w:rsidR="00F41228" w:rsidRDefault="00F41228">
      <w:pPr>
        <w:pStyle w:val="BodyText"/>
        <w:spacing w:before="102"/>
        <w:rPr>
          <w:b/>
        </w:rPr>
      </w:pPr>
    </w:p>
    <w:p w14:paraId="4F11A97C" w14:textId="77777777" w:rsidR="00F41228" w:rsidRDefault="00F119CE">
      <w:pPr>
        <w:pStyle w:val="BodyText"/>
        <w:spacing w:line="360" w:lineRule="auto"/>
        <w:ind w:left="1" w:right="15" w:firstLine="720"/>
        <w:jc w:val="both"/>
      </w:pPr>
      <w:r>
        <w:t>Diagnosis integrates clinical assessment with neuroimaging modalities to evaluate ventricular size and CSF dynamics. In infants with open fontanelles, cranial ultrasonography offers a rapid, noninvasive method to detect ventricular dilation (</w:t>
      </w:r>
      <w:proofErr w:type="spellStart"/>
      <w:r>
        <w:t>Permana</w:t>
      </w:r>
      <w:proofErr w:type="spellEnd"/>
      <w:r>
        <w:t>, 2018)</w:t>
      </w:r>
      <w:r>
        <w:t>. CT scanning is the preferred tool in acute and emergency settings because it rapidly identifies ventricular enlargement and associated complications such as</w:t>
      </w:r>
      <w:r>
        <w:rPr>
          <w:spacing w:val="12"/>
        </w:rPr>
        <w:t xml:space="preserve"> </w:t>
      </w:r>
      <w:r>
        <w:t>hemorrhage</w:t>
      </w:r>
      <w:r>
        <w:rPr>
          <w:spacing w:val="12"/>
        </w:rPr>
        <w:t xml:space="preserve"> </w:t>
      </w:r>
      <w:r>
        <w:t>(</w:t>
      </w:r>
      <w:proofErr w:type="spellStart"/>
      <w:r>
        <w:t>Koleva</w:t>
      </w:r>
      <w:proofErr w:type="spellEnd"/>
      <w:r>
        <w:rPr>
          <w:spacing w:val="-2"/>
        </w:rPr>
        <w:t xml:space="preserve"> </w:t>
      </w:r>
      <w:r>
        <w:t>and</w:t>
      </w:r>
      <w:r>
        <w:rPr>
          <w:spacing w:val="-2"/>
        </w:rPr>
        <w:t xml:space="preserve"> </w:t>
      </w:r>
      <w:r>
        <w:t>De</w:t>
      </w:r>
      <w:r>
        <w:rPr>
          <w:spacing w:val="-2"/>
        </w:rPr>
        <w:t xml:space="preserve"> </w:t>
      </w:r>
      <w:proofErr w:type="spellStart"/>
      <w:r>
        <w:t>Yesus</w:t>
      </w:r>
      <w:proofErr w:type="spellEnd"/>
      <w:r>
        <w:t>,</w:t>
      </w:r>
      <w:r>
        <w:rPr>
          <w:spacing w:val="-3"/>
        </w:rPr>
        <w:t xml:space="preserve"> </w:t>
      </w:r>
      <w:r>
        <w:t>2025).</w:t>
      </w:r>
      <w:r>
        <w:rPr>
          <w:spacing w:val="-2"/>
        </w:rPr>
        <w:t xml:space="preserve"> </w:t>
      </w:r>
      <w:r>
        <w:t>MRI</w:t>
      </w:r>
      <w:r>
        <w:rPr>
          <w:spacing w:val="-2"/>
        </w:rPr>
        <w:t xml:space="preserve"> </w:t>
      </w:r>
      <w:r>
        <w:t>provides</w:t>
      </w:r>
      <w:r>
        <w:rPr>
          <w:spacing w:val="-2"/>
        </w:rPr>
        <w:t xml:space="preserve"> </w:t>
      </w:r>
      <w:r>
        <w:t>superior</w:t>
      </w:r>
      <w:r>
        <w:rPr>
          <w:spacing w:val="-2"/>
        </w:rPr>
        <w:t xml:space="preserve"> </w:t>
      </w:r>
      <w:r>
        <w:t>soft-tissue</w:t>
      </w:r>
      <w:r>
        <w:rPr>
          <w:spacing w:val="-2"/>
        </w:rPr>
        <w:t xml:space="preserve"> contrast</w:t>
      </w:r>
    </w:p>
    <w:p w14:paraId="739FDF32" w14:textId="77777777" w:rsidR="00F41228" w:rsidRDefault="00F41228">
      <w:pPr>
        <w:pStyle w:val="BodyText"/>
        <w:spacing w:line="360" w:lineRule="auto"/>
        <w:jc w:val="both"/>
        <w:sectPr w:rsidR="00F41228">
          <w:pgSz w:w="11920" w:h="16840"/>
          <w:pgMar w:top="640" w:right="1700" w:bottom="1180" w:left="1700" w:header="0" w:footer="1000" w:gutter="0"/>
          <w:cols w:space="720"/>
        </w:sectPr>
      </w:pPr>
    </w:p>
    <w:p w14:paraId="5742899B" w14:textId="77777777" w:rsidR="00F41228" w:rsidRDefault="00F119CE">
      <w:pPr>
        <w:pStyle w:val="BodyText"/>
        <w:spacing w:before="61" w:line="360" w:lineRule="auto"/>
        <w:ind w:left="1" w:right="15"/>
        <w:jc w:val="both"/>
      </w:pPr>
      <w:r>
        <w:lastRenderedPageBreak/>
        <w:t xml:space="preserve">and is crucial for detecting posterior fossa abnormalities, </w:t>
      </w:r>
      <w:proofErr w:type="spellStart"/>
      <w:r>
        <w:t>aqueductal</w:t>
      </w:r>
      <w:proofErr w:type="spellEnd"/>
      <w:r>
        <w:t xml:space="preserve"> stenosis, and congenital malformations, making it essential for evaluating suspected obstructive hydrocephalus (Anwar </w:t>
      </w:r>
      <w:r>
        <w:rPr>
          <w:i/>
        </w:rPr>
        <w:t>et al.</w:t>
      </w:r>
      <w:r>
        <w:t>, 2024). Cine phase-contrast MRI enables as</w:t>
      </w:r>
      <w:r>
        <w:t xml:space="preserve">sessment of CSF flow patterns and can help predict therapeutic response, especially in cases of normal-pressure hydrocephalus (Yousaf </w:t>
      </w:r>
      <w:r>
        <w:rPr>
          <w:i/>
        </w:rPr>
        <w:t xml:space="preserve">et al., </w:t>
      </w:r>
      <w:r>
        <w:t>2018). Together, these diagnostic tools support accurate determination of etiology and guide appropriate managemen</w:t>
      </w:r>
      <w:r>
        <w:t>t (</w:t>
      </w:r>
      <w:proofErr w:type="spellStart"/>
      <w:r>
        <w:t>Koleva</w:t>
      </w:r>
      <w:proofErr w:type="spellEnd"/>
      <w:r>
        <w:t xml:space="preserve"> and De </w:t>
      </w:r>
      <w:proofErr w:type="spellStart"/>
      <w:r>
        <w:t>Yesus</w:t>
      </w:r>
      <w:proofErr w:type="spellEnd"/>
      <w:r>
        <w:t>, 2025).</w:t>
      </w:r>
    </w:p>
    <w:p w14:paraId="2EA5F6AC" w14:textId="77777777" w:rsidR="00F41228" w:rsidRDefault="00F119CE">
      <w:pPr>
        <w:pStyle w:val="BodyText"/>
        <w:spacing w:before="16"/>
        <w:rPr>
          <w:sz w:val="20"/>
        </w:rPr>
      </w:pPr>
      <w:r>
        <w:rPr>
          <w:noProof/>
          <w:sz w:val="20"/>
        </w:rPr>
        <w:drawing>
          <wp:anchor distT="0" distB="0" distL="0" distR="0" simplePos="0" relativeHeight="487588352" behindDoc="1" locked="0" layoutInCell="1" allowOverlap="1" wp14:anchorId="056C03C4" wp14:editId="1BD91FB7">
            <wp:simplePos x="0" y="0"/>
            <wp:positionH relativeFrom="page">
              <wp:posOffset>2879887</wp:posOffset>
            </wp:positionH>
            <wp:positionV relativeFrom="paragraph">
              <wp:posOffset>171453</wp:posOffset>
            </wp:positionV>
            <wp:extent cx="1791365" cy="181032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791365" cy="1810321"/>
                    </a:xfrm>
                    <a:prstGeom prst="rect">
                      <a:avLst/>
                    </a:prstGeom>
                  </pic:spPr>
                </pic:pic>
              </a:graphicData>
            </a:graphic>
          </wp:anchor>
        </w:drawing>
      </w:r>
    </w:p>
    <w:p w14:paraId="2FF4E586" w14:textId="77777777" w:rsidR="00F41228" w:rsidRDefault="00F41228">
      <w:pPr>
        <w:pStyle w:val="BodyText"/>
        <w:spacing w:before="152"/>
      </w:pPr>
    </w:p>
    <w:p w14:paraId="611612A1" w14:textId="77777777" w:rsidR="00F41228" w:rsidRDefault="00F119CE">
      <w:pPr>
        <w:ind w:right="12"/>
        <w:jc w:val="center"/>
      </w:pPr>
      <w:r>
        <w:rPr>
          <w:b/>
        </w:rPr>
        <w:t>Figure</w:t>
      </w:r>
      <w:r>
        <w:rPr>
          <w:b/>
          <w:spacing w:val="-6"/>
        </w:rPr>
        <w:t xml:space="preserve"> </w:t>
      </w:r>
      <w:r>
        <w:rPr>
          <w:b/>
        </w:rPr>
        <w:t>2.</w:t>
      </w:r>
      <w:r>
        <w:rPr>
          <w:b/>
          <w:spacing w:val="54"/>
          <w:w w:val="150"/>
        </w:rPr>
        <w:t xml:space="preserve"> </w:t>
      </w:r>
      <w:r>
        <w:t>Hydrocephalus</w:t>
      </w:r>
      <w:r>
        <w:rPr>
          <w:spacing w:val="-6"/>
        </w:rPr>
        <w:t xml:space="preserve"> </w:t>
      </w:r>
      <w:r>
        <w:t>Head</w:t>
      </w:r>
      <w:r>
        <w:rPr>
          <w:spacing w:val="-6"/>
        </w:rPr>
        <w:t xml:space="preserve"> </w:t>
      </w:r>
      <w:r>
        <w:t>CT</w:t>
      </w:r>
      <w:r>
        <w:rPr>
          <w:spacing w:val="-6"/>
        </w:rPr>
        <w:t xml:space="preserve"> </w:t>
      </w:r>
      <w:r>
        <w:t>(</w:t>
      </w:r>
      <w:proofErr w:type="spellStart"/>
      <w:r>
        <w:t>StatPearls</w:t>
      </w:r>
      <w:proofErr w:type="spellEnd"/>
      <w:r>
        <w:rPr>
          <w:spacing w:val="-6"/>
        </w:rPr>
        <w:t xml:space="preserve"> </w:t>
      </w:r>
      <w:r>
        <w:t>Publishing</w:t>
      </w:r>
      <w:r>
        <w:rPr>
          <w:spacing w:val="-6"/>
        </w:rPr>
        <w:t xml:space="preserve"> </w:t>
      </w:r>
      <w:r>
        <w:t>LLC.,</w:t>
      </w:r>
      <w:r>
        <w:rPr>
          <w:spacing w:val="-6"/>
        </w:rPr>
        <w:t xml:space="preserve"> </w:t>
      </w:r>
      <w:r>
        <w:rPr>
          <w:spacing w:val="-2"/>
        </w:rPr>
        <w:t>2025)</w:t>
      </w:r>
    </w:p>
    <w:p w14:paraId="26D5993C" w14:textId="77777777" w:rsidR="00F41228" w:rsidRDefault="00F119CE">
      <w:pPr>
        <w:pStyle w:val="BodyText"/>
        <w:spacing w:before="6"/>
        <w:rPr>
          <w:sz w:val="11"/>
        </w:rPr>
      </w:pPr>
      <w:r>
        <w:rPr>
          <w:noProof/>
          <w:sz w:val="11"/>
        </w:rPr>
        <w:drawing>
          <wp:anchor distT="0" distB="0" distL="0" distR="0" simplePos="0" relativeHeight="487588864" behindDoc="1" locked="0" layoutInCell="1" allowOverlap="1" wp14:anchorId="73A27B15" wp14:editId="3B58B909">
            <wp:simplePos x="0" y="0"/>
            <wp:positionH relativeFrom="page">
              <wp:posOffset>2879887</wp:posOffset>
            </wp:positionH>
            <wp:positionV relativeFrom="paragraph">
              <wp:posOffset>99491</wp:posOffset>
            </wp:positionV>
            <wp:extent cx="1800997" cy="222027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800997" cy="2220277"/>
                    </a:xfrm>
                    <a:prstGeom prst="rect">
                      <a:avLst/>
                    </a:prstGeom>
                  </pic:spPr>
                </pic:pic>
              </a:graphicData>
            </a:graphic>
          </wp:anchor>
        </w:drawing>
      </w:r>
    </w:p>
    <w:p w14:paraId="6B64581A" w14:textId="77777777" w:rsidR="00F41228" w:rsidRDefault="00F119CE">
      <w:pPr>
        <w:spacing w:before="191"/>
        <w:ind w:right="12"/>
        <w:jc w:val="center"/>
      </w:pPr>
      <w:r>
        <w:rPr>
          <w:b/>
        </w:rPr>
        <w:t>Figure</w:t>
      </w:r>
      <w:r>
        <w:rPr>
          <w:b/>
          <w:spacing w:val="-9"/>
        </w:rPr>
        <w:t xml:space="preserve"> </w:t>
      </w:r>
      <w:r>
        <w:rPr>
          <w:b/>
        </w:rPr>
        <w:t>3.</w:t>
      </w:r>
      <w:r>
        <w:rPr>
          <w:b/>
          <w:spacing w:val="-8"/>
        </w:rPr>
        <w:t xml:space="preserve"> </w:t>
      </w:r>
      <w:r>
        <w:t>Normal</w:t>
      </w:r>
      <w:r>
        <w:rPr>
          <w:spacing w:val="-8"/>
        </w:rPr>
        <w:t xml:space="preserve"> </w:t>
      </w:r>
      <w:r>
        <w:t>pressure</w:t>
      </w:r>
      <w:r>
        <w:rPr>
          <w:spacing w:val="-8"/>
        </w:rPr>
        <w:t xml:space="preserve"> </w:t>
      </w:r>
      <w:r>
        <w:t>hydrocephalus</w:t>
      </w:r>
      <w:r>
        <w:rPr>
          <w:spacing w:val="-3"/>
        </w:rPr>
        <w:t xml:space="preserve"> </w:t>
      </w:r>
      <w:r>
        <w:t>(</w:t>
      </w:r>
      <w:proofErr w:type="spellStart"/>
      <w:r>
        <w:t>StatPearls</w:t>
      </w:r>
      <w:proofErr w:type="spellEnd"/>
      <w:r>
        <w:rPr>
          <w:spacing w:val="-8"/>
        </w:rPr>
        <w:t xml:space="preserve"> </w:t>
      </w:r>
      <w:r>
        <w:t>Publishing</w:t>
      </w:r>
      <w:r>
        <w:rPr>
          <w:spacing w:val="-8"/>
        </w:rPr>
        <w:t xml:space="preserve"> </w:t>
      </w:r>
      <w:r>
        <w:t>LLC.,</w:t>
      </w:r>
      <w:r>
        <w:rPr>
          <w:spacing w:val="-8"/>
        </w:rPr>
        <w:t xml:space="preserve"> </w:t>
      </w:r>
      <w:r>
        <w:rPr>
          <w:spacing w:val="-2"/>
        </w:rPr>
        <w:t>2025)</w:t>
      </w:r>
    </w:p>
    <w:p w14:paraId="0394DE53" w14:textId="77777777" w:rsidR="00F41228" w:rsidRDefault="00F41228">
      <w:pPr>
        <w:pStyle w:val="BodyText"/>
        <w:rPr>
          <w:sz w:val="22"/>
        </w:rPr>
      </w:pPr>
    </w:p>
    <w:p w14:paraId="0121D9D1" w14:textId="77777777" w:rsidR="00F41228" w:rsidRDefault="00F41228">
      <w:pPr>
        <w:pStyle w:val="BodyText"/>
        <w:rPr>
          <w:sz w:val="22"/>
        </w:rPr>
      </w:pPr>
    </w:p>
    <w:p w14:paraId="0AADDB3B" w14:textId="77777777" w:rsidR="00F41228" w:rsidRDefault="00F41228">
      <w:pPr>
        <w:pStyle w:val="BodyText"/>
        <w:spacing w:before="142"/>
        <w:rPr>
          <w:sz w:val="22"/>
        </w:rPr>
      </w:pPr>
    </w:p>
    <w:p w14:paraId="4AC011AB" w14:textId="77777777" w:rsidR="00F41228" w:rsidRDefault="00F119CE">
      <w:pPr>
        <w:pStyle w:val="BodyText"/>
        <w:spacing w:line="360" w:lineRule="auto"/>
        <w:ind w:left="1" w:right="15" w:firstLine="720"/>
        <w:jc w:val="both"/>
      </w:pPr>
      <w:r>
        <w:t>Diagnosis at birth relies primarily on visual inspection of the lip, alveolar arch, and palate, allowing immediate referral for specialized care (</w:t>
      </w:r>
      <w:proofErr w:type="spellStart"/>
      <w:r>
        <w:t>Khairotin</w:t>
      </w:r>
      <w:proofErr w:type="spellEnd"/>
      <w:r>
        <w:t>, 2025). Prenatal ultrasound is effective at detecting cleft lip but remains limited in identifying i</w:t>
      </w:r>
      <w:r>
        <w:t>solated cleft</w:t>
      </w:r>
      <w:r>
        <w:rPr>
          <w:spacing w:val="44"/>
        </w:rPr>
        <w:t xml:space="preserve"> </w:t>
      </w:r>
      <w:r>
        <w:t>palate</w:t>
      </w:r>
      <w:r>
        <w:rPr>
          <w:spacing w:val="44"/>
        </w:rPr>
        <w:t xml:space="preserve"> </w:t>
      </w:r>
      <w:r>
        <w:t>due</w:t>
      </w:r>
      <w:r>
        <w:rPr>
          <w:spacing w:val="44"/>
        </w:rPr>
        <w:t xml:space="preserve"> </w:t>
      </w:r>
      <w:r>
        <w:t>to</w:t>
      </w:r>
      <w:r>
        <w:rPr>
          <w:spacing w:val="44"/>
        </w:rPr>
        <w:t xml:space="preserve"> </w:t>
      </w:r>
      <w:r>
        <w:t>its</w:t>
      </w:r>
      <w:r>
        <w:rPr>
          <w:spacing w:val="45"/>
        </w:rPr>
        <w:t xml:space="preserve"> </w:t>
      </w:r>
      <w:r>
        <w:t>posterior</w:t>
      </w:r>
      <w:r>
        <w:rPr>
          <w:spacing w:val="44"/>
        </w:rPr>
        <w:t xml:space="preserve"> </w:t>
      </w:r>
      <w:r>
        <w:t>location</w:t>
      </w:r>
      <w:r>
        <w:rPr>
          <w:spacing w:val="44"/>
        </w:rPr>
        <w:t xml:space="preserve"> </w:t>
      </w:r>
      <w:r>
        <w:t>(Wilkes</w:t>
      </w:r>
      <w:r>
        <w:rPr>
          <w:spacing w:val="44"/>
        </w:rPr>
        <w:t xml:space="preserve"> </w:t>
      </w:r>
      <w:r>
        <w:t>et</w:t>
      </w:r>
      <w:r>
        <w:rPr>
          <w:spacing w:val="44"/>
        </w:rPr>
        <w:t xml:space="preserve"> </w:t>
      </w:r>
      <w:r>
        <w:t>al.,</w:t>
      </w:r>
      <w:r>
        <w:rPr>
          <w:spacing w:val="45"/>
        </w:rPr>
        <w:t xml:space="preserve"> </w:t>
      </w:r>
      <w:r>
        <w:t>2023).</w:t>
      </w:r>
      <w:r>
        <w:rPr>
          <w:spacing w:val="44"/>
        </w:rPr>
        <w:t xml:space="preserve"> </w:t>
      </w:r>
      <w:r>
        <w:t>Further</w:t>
      </w:r>
      <w:r>
        <w:rPr>
          <w:spacing w:val="29"/>
        </w:rPr>
        <w:t xml:space="preserve"> </w:t>
      </w:r>
      <w:r>
        <w:t>evaluation</w:t>
      </w:r>
      <w:r>
        <w:rPr>
          <w:spacing w:val="30"/>
        </w:rPr>
        <w:t xml:space="preserve"> </w:t>
      </w:r>
      <w:r>
        <w:rPr>
          <w:spacing w:val="-5"/>
        </w:rPr>
        <w:t>by</w:t>
      </w:r>
    </w:p>
    <w:p w14:paraId="4572AB0B" w14:textId="77777777" w:rsidR="00F41228" w:rsidRDefault="00F41228">
      <w:pPr>
        <w:pStyle w:val="BodyText"/>
        <w:spacing w:line="360" w:lineRule="auto"/>
        <w:jc w:val="both"/>
        <w:sectPr w:rsidR="00F41228">
          <w:pgSz w:w="11920" w:h="16840"/>
          <w:pgMar w:top="1640" w:right="1700" w:bottom="1200" w:left="1700" w:header="0" w:footer="1000" w:gutter="0"/>
          <w:cols w:space="720"/>
        </w:sectPr>
      </w:pPr>
    </w:p>
    <w:p w14:paraId="5BA35D20" w14:textId="77777777" w:rsidR="00F41228" w:rsidRDefault="00F41228">
      <w:pPr>
        <w:pStyle w:val="BodyText"/>
        <w:rPr>
          <w:i/>
          <w:sz w:val="22"/>
        </w:rPr>
      </w:pPr>
    </w:p>
    <w:p w14:paraId="25388C83" w14:textId="77777777" w:rsidR="00F41228" w:rsidRDefault="00F41228">
      <w:pPr>
        <w:pStyle w:val="BodyText"/>
        <w:spacing w:before="234"/>
        <w:rPr>
          <w:i/>
          <w:sz w:val="22"/>
        </w:rPr>
      </w:pPr>
    </w:p>
    <w:p w14:paraId="0573490C" w14:textId="77777777" w:rsidR="00F41228" w:rsidRDefault="00F119CE">
      <w:pPr>
        <w:pStyle w:val="BodyText"/>
        <w:spacing w:line="360" w:lineRule="auto"/>
        <w:ind w:left="1" w:right="14"/>
        <w:jc w:val="both"/>
      </w:pPr>
      <w:r>
        <w:t>pediatricians, dentists, ENT specialists, and speech therapists is crucial to establish the extent of stru</w:t>
      </w:r>
      <w:r>
        <w:t>ctural and functional impairment (</w:t>
      </w:r>
      <w:proofErr w:type="spellStart"/>
      <w:r>
        <w:t>Dewi</w:t>
      </w:r>
      <w:proofErr w:type="spellEnd"/>
      <w:r>
        <w:t>, 2019). Early detection enhances care coordination and improves long-term outcomes (</w:t>
      </w:r>
      <w:proofErr w:type="spellStart"/>
      <w:r>
        <w:t>Allareddy</w:t>
      </w:r>
      <w:proofErr w:type="spellEnd"/>
      <w:r>
        <w:t xml:space="preserve"> et al., 2021).</w:t>
      </w:r>
    </w:p>
    <w:p w14:paraId="32C60177" w14:textId="77777777" w:rsidR="00F41228" w:rsidRDefault="00F41228">
      <w:pPr>
        <w:pStyle w:val="BodyText"/>
        <w:spacing w:before="138"/>
      </w:pPr>
    </w:p>
    <w:p w14:paraId="7132FD3B" w14:textId="77777777" w:rsidR="00F41228" w:rsidRDefault="00F119CE">
      <w:pPr>
        <w:pStyle w:val="BodyText"/>
        <w:spacing w:line="360" w:lineRule="auto"/>
        <w:ind w:left="1" w:right="19" w:firstLine="720"/>
        <w:jc w:val="both"/>
      </w:pPr>
      <w:r>
        <w:t>Audiological testing is essential due to the</w:t>
      </w:r>
      <w:r>
        <w:rPr>
          <w:spacing w:val="-3"/>
        </w:rPr>
        <w:t xml:space="preserve"> </w:t>
      </w:r>
      <w:r>
        <w:t>high</w:t>
      </w:r>
      <w:r>
        <w:rPr>
          <w:spacing w:val="-3"/>
        </w:rPr>
        <w:t xml:space="preserve"> </w:t>
      </w:r>
      <w:r>
        <w:t>incidence</w:t>
      </w:r>
      <w:r>
        <w:rPr>
          <w:spacing w:val="-3"/>
        </w:rPr>
        <w:t xml:space="preserve"> </w:t>
      </w:r>
      <w:r>
        <w:t>of</w:t>
      </w:r>
      <w:r>
        <w:rPr>
          <w:spacing w:val="-3"/>
        </w:rPr>
        <w:t xml:space="preserve"> </w:t>
      </w:r>
      <w:r>
        <w:t>conductive</w:t>
      </w:r>
      <w:r>
        <w:rPr>
          <w:spacing w:val="-3"/>
        </w:rPr>
        <w:t xml:space="preserve"> </w:t>
      </w:r>
      <w:r>
        <w:t>hearing loss</w:t>
      </w:r>
      <w:r>
        <w:rPr>
          <w:spacing w:val="40"/>
        </w:rPr>
        <w:t xml:space="preserve"> </w:t>
      </w:r>
      <w:r>
        <w:t>and</w:t>
      </w:r>
      <w:r>
        <w:rPr>
          <w:spacing w:val="40"/>
        </w:rPr>
        <w:t xml:space="preserve"> </w:t>
      </w:r>
      <w:r>
        <w:t>middle-ear</w:t>
      </w:r>
      <w:r>
        <w:rPr>
          <w:spacing w:val="40"/>
        </w:rPr>
        <w:t xml:space="preserve"> </w:t>
      </w:r>
      <w:r>
        <w:t>effusion</w:t>
      </w:r>
      <w:r>
        <w:rPr>
          <w:spacing w:val="40"/>
        </w:rPr>
        <w:t xml:space="preserve"> </w:t>
      </w:r>
      <w:r>
        <w:t>in</w:t>
      </w:r>
      <w:r>
        <w:rPr>
          <w:spacing w:val="40"/>
        </w:rPr>
        <w:t xml:space="preserve"> </w:t>
      </w:r>
      <w:r>
        <w:t>CLP</w:t>
      </w:r>
      <w:r>
        <w:rPr>
          <w:spacing w:val="40"/>
        </w:rPr>
        <w:t xml:space="preserve"> </w:t>
      </w:r>
      <w:r>
        <w:t>patients</w:t>
      </w:r>
      <w:r>
        <w:rPr>
          <w:spacing w:val="40"/>
        </w:rPr>
        <w:t xml:space="preserve"> </w:t>
      </w:r>
      <w:r>
        <w:t>(Chaudhary,</w:t>
      </w:r>
      <w:r>
        <w:rPr>
          <w:spacing w:val="40"/>
        </w:rPr>
        <w:t xml:space="preserve"> </w:t>
      </w:r>
      <w:r>
        <w:t>2022).</w:t>
      </w:r>
      <w:r>
        <w:rPr>
          <w:spacing w:val="40"/>
        </w:rPr>
        <w:t xml:space="preserve"> </w:t>
      </w:r>
      <w:r>
        <w:t>Imaging modalities—including CT or MRI—may be</w:t>
      </w:r>
      <w:r>
        <w:rPr>
          <w:spacing w:val="-4"/>
        </w:rPr>
        <w:t xml:space="preserve"> </w:t>
      </w:r>
      <w:r>
        <w:t>used</w:t>
      </w:r>
      <w:r>
        <w:rPr>
          <w:spacing w:val="-4"/>
        </w:rPr>
        <w:t xml:space="preserve"> </w:t>
      </w:r>
      <w:r>
        <w:t>in</w:t>
      </w:r>
      <w:r>
        <w:rPr>
          <w:spacing w:val="-4"/>
        </w:rPr>
        <w:t xml:space="preserve"> </w:t>
      </w:r>
      <w:r>
        <w:t>cases</w:t>
      </w:r>
      <w:r>
        <w:rPr>
          <w:spacing w:val="-4"/>
        </w:rPr>
        <w:t xml:space="preserve"> </w:t>
      </w:r>
      <w:r>
        <w:t>where</w:t>
      </w:r>
      <w:r>
        <w:rPr>
          <w:spacing w:val="-4"/>
        </w:rPr>
        <w:t xml:space="preserve"> </w:t>
      </w:r>
      <w:r>
        <w:t>anatomical</w:t>
      </w:r>
      <w:r>
        <w:rPr>
          <w:spacing w:val="-4"/>
        </w:rPr>
        <w:t xml:space="preserve"> </w:t>
      </w:r>
      <w:r>
        <w:t>complexity or syndromic involvement is suspected (</w:t>
      </w:r>
      <w:proofErr w:type="spellStart"/>
      <w:r>
        <w:t>Dewi</w:t>
      </w:r>
      <w:proofErr w:type="spellEnd"/>
      <w:r>
        <w:t xml:space="preserve">, 2019). </w:t>
      </w:r>
      <w:proofErr w:type="spellStart"/>
      <w:r>
        <w:t>Nasoendoscopy</w:t>
      </w:r>
      <w:proofErr w:type="spellEnd"/>
      <w:r>
        <w:t xml:space="preserve"> and </w:t>
      </w:r>
      <w:proofErr w:type="spellStart"/>
      <w:r>
        <w:t>videofluoroscopy</w:t>
      </w:r>
      <w:proofErr w:type="spellEnd"/>
      <w:r>
        <w:t xml:space="preserve"> can assess velopharyngeal function in</w:t>
      </w:r>
      <w:r>
        <w:t xml:space="preserve"> children with</w:t>
      </w:r>
      <w:r>
        <w:rPr>
          <w:spacing w:val="-4"/>
        </w:rPr>
        <w:t xml:space="preserve"> </w:t>
      </w:r>
      <w:r>
        <w:t>persistent</w:t>
      </w:r>
      <w:r>
        <w:rPr>
          <w:spacing w:val="-4"/>
        </w:rPr>
        <w:t xml:space="preserve"> </w:t>
      </w:r>
      <w:r>
        <w:t>speech problems after palatal repair (Chaudhary, 2022). These diagnostic steps help determine appropriate timing and planning of surgical and</w:t>
      </w:r>
      <w:r>
        <w:rPr>
          <w:spacing w:val="-4"/>
        </w:rPr>
        <w:t xml:space="preserve"> </w:t>
      </w:r>
      <w:r>
        <w:t>rehabilitative</w:t>
      </w:r>
      <w:r>
        <w:rPr>
          <w:spacing w:val="-4"/>
        </w:rPr>
        <w:t xml:space="preserve"> </w:t>
      </w:r>
      <w:r>
        <w:t>interventions</w:t>
      </w:r>
      <w:r>
        <w:rPr>
          <w:spacing w:val="-4"/>
        </w:rPr>
        <w:t xml:space="preserve"> </w:t>
      </w:r>
      <w:r>
        <w:t>(</w:t>
      </w:r>
      <w:proofErr w:type="spellStart"/>
      <w:r>
        <w:t>Gandedkar</w:t>
      </w:r>
      <w:proofErr w:type="spellEnd"/>
      <w:r>
        <w:t xml:space="preserve"> et al., 2021).</w:t>
      </w:r>
    </w:p>
    <w:p w14:paraId="4C29B9D1" w14:textId="77777777" w:rsidR="00F41228" w:rsidRDefault="00F119CE">
      <w:pPr>
        <w:pStyle w:val="Heading2"/>
      </w:pPr>
      <w:r>
        <w:rPr>
          <w:spacing w:val="-2"/>
        </w:rPr>
        <w:t>Management</w:t>
      </w:r>
    </w:p>
    <w:p w14:paraId="77CA6AA7" w14:textId="77777777" w:rsidR="00F41228" w:rsidRDefault="00F41228">
      <w:pPr>
        <w:pStyle w:val="BodyText"/>
        <w:spacing w:before="102"/>
        <w:rPr>
          <w:b/>
        </w:rPr>
      </w:pPr>
    </w:p>
    <w:p w14:paraId="2B6A7FCE" w14:textId="77777777" w:rsidR="00F41228" w:rsidRDefault="00F119CE">
      <w:pPr>
        <w:pStyle w:val="BodyText"/>
        <w:spacing w:line="360" w:lineRule="auto"/>
        <w:ind w:left="1" w:right="13" w:firstLine="720"/>
        <w:jc w:val="both"/>
      </w:pPr>
      <w:r>
        <w:t>Medical therapy plays</w:t>
      </w:r>
      <w:r>
        <w:t xml:space="preserve"> a limited</w:t>
      </w:r>
      <w:r>
        <w:rPr>
          <w:spacing w:val="-3"/>
        </w:rPr>
        <w:t xml:space="preserve"> </w:t>
      </w:r>
      <w:r>
        <w:t>role,</w:t>
      </w:r>
      <w:r>
        <w:rPr>
          <w:spacing w:val="-3"/>
        </w:rPr>
        <w:t xml:space="preserve"> </w:t>
      </w:r>
      <w:r>
        <w:t>though</w:t>
      </w:r>
      <w:r>
        <w:rPr>
          <w:spacing w:val="-3"/>
        </w:rPr>
        <w:t xml:space="preserve"> </w:t>
      </w:r>
      <w:r>
        <w:t>acetazolamide</w:t>
      </w:r>
      <w:r>
        <w:rPr>
          <w:spacing w:val="-3"/>
        </w:rPr>
        <w:t xml:space="preserve"> </w:t>
      </w:r>
      <w:r>
        <w:t>and</w:t>
      </w:r>
      <w:r>
        <w:rPr>
          <w:spacing w:val="-3"/>
        </w:rPr>
        <w:t xml:space="preserve"> </w:t>
      </w:r>
      <w:r>
        <w:t>furosemide</w:t>
      </w:r>
      <w:r>
        <w:rPr>
          <w:spacing w:val="-3"/>
        </w:rPr>
        <w:t xml:space="preserve"> </w:t>
      </w:r>
      <w:r>
        <w:t>may temporarily reduce CSF production by inhibiting carbonic anhydrase activity in the choroid plexus (</w:t>
      </w:r>
      <w:proofErr w:type="spellStart"/>
      <w:r>
        <w:t>Permana</w:t>
      </w:r>
      <w:proofErr w:type="spellEnd"/>
      <w:r>
        <w:t>, 2018). Surgical intervention remains the cornerstone of treatment. Ventriculoperitoneal (VP</w:t>
      </w:r>
      <w:r>
        <w:t>) shunt placement is the most widely used method for long-term CSF diversion and is considered the standard of care in most settings (</w:t>
      </w:r>
      <w:proofErr w:type="spellStart"/>
      <w:r>
        <w:t>Koleva</w:t>
      </w:r>
      <w:proofErr w:type="spellEnd"/>
      <w:r>
        <w:t xml:space="preserve"> and De </w:t>
      </w:r>
      <w:proofErr w:type="spellStart"/>
      <w:r>
        <w:t>Yesus</w:t>
      </w:r>
      <w:proofErr w:type="spellEnd"/>
      <w:r>
        <w:t xml:space="preserve">, 2025). When VP shunting is not feasible, </w:t>
      </w:r>
      <w:proofErr w:type="spellStart"/>
      <w:r>
        <w:t>ventriculoatrial</w:t>
      </w:r>
      <w:proofErr w:type="spellEnd"/>
      <w:r>
        <w:t xml:space="preserve"> or </w:t>
      </w:r>
      <w:proofErr w:type="spellStart"/>
      <w:r>
        <w:t>ventriculopleural</w:t>
      </w:r>
      <w:proofErr w:type="spellEnd"/>
      <w:r>
        <w:t xml:space="preserve"> shunts are viable alte</w:t>
      </w:r>
      <w:r>
        <w:t>rnatives (</w:t>
      </w:r>
      <w:proofErr w:type="spellStart"/>
      <w:r>
        <w:t>Permana</w:t>
      </w:r>
      <w:proofErr w:type="spellEnd"/>
      <w:r>
        <w:t>, 2018). Endoscopic third ventriculostomy (ETV) provides a physiological solution by creating an opening in the floor of the third ventricle to bypass</w:t>
      </w:r>
      <w:r>
        <w:rPr>
          <w:spacing w:val="-4"/>
        </w:rPr>
        <w:t xml:space="preserve"> </w:t>
      </w:r>
      <w:r>
        <w:t>obstructed</w:t>
      </w:r>
      <w:r>
        <w:rPr>
          <w:spacing w:val="-4"/>
        </w:rPr>
        <w:t xml:space="preserve"> </w:t>
      </w:r>
      <w:r>
        <w:t>pathways,</w:t>
      </w:r>
      <w:r>
        <w:rPr>
          <w:spacing w:val="-4"/>
        </w:rPr>
        <w:t xml:space="preserve"> </w:t>
      </w:r>
      <w:r>
        <w:t>offering</w:t>
      </w:r>
      <w:r>
        <w:rPr>
          <w:spacing w:val="-4"/>
        </w:rPr>
        <w:t xml:space="preserve"> </w:t>
      </w:r>
      <w:r>
        <w:t>significant</w:t>
      </w:r>
      <w:r>
        <w:rPr>
          <w:spacing w:val="-4"/>
        </w:rPr>
        <w:t xml:space="preserve"> </w:t>
      </w:r>
      <w:r>
        <w:t>benefit</w:t>
      </w:r>
      <w:r>
        <w:rPr>
          <w:spacing w:val="-4"/>
        </w:rPr>
        <w:t xml:space="preserve"> </w:t>
      </w:r>
      <w:r>
        <w:t xml:space="preserve">in obstructive hydrocephalus such as </w:t>
      </w:r>
      <w:proofErr w:type="spellStart"/>
      <w:r>
        <w:t>a</w:t>
      </w:r>
      <w:r>
        <w:t>queductal</w:t>
      </w:r>
      <w:proofErr w:type="spellEnd"/>
      <w:r>
        <w:t xml:space="preserve"> stenosis</w:t>
      </w:r>
      <w:r>
        <w:rPr>
          <w:spacing w:val="-3"/>
        </w:rPr>
        <w:t xml:space="preserve"> </w:t>
      </w:r>
      <w:r>
        <w:t>(Anwar</w:t>
      </w:r>
      <w:r>
        <w:rPr>
          <w:spacing w:val="-3"/>
        </w:rPr>
        <w:t xml:space="preserve"> </w:t>
      </w:r>
      <w:r>
        <w:rPr>
          <w:i/>
        </w:rPr>
        <w:t>et</w:t>
      </w:r>
      <w:r>
        <w:rPr>
          <w:i/>
          <w:spacing w:val="-3"/>
        </w:rPr>
        <w:t xml:space="preserve"> </w:t>
      </w:r>
      <w:r>
        <w:rPr>
          <w:i/>
        </w:rPr>
        <w:t>al.</w:t>
      </w:r>
      <w:r>
        <w:t>,</w:t>
      </w:r>
      <w:r>
        <w:rPr>
          <w:spacing w:val="-3"/>
        </w:rPr>
        <w:t xml:space="preserve"> </w:t>
      </w:r>
      <w:r>
        <w:t>2024).</w:t>
      </w:r>
      <w:r>
        <w:rPr>
          <w:spacing w:val="-3"/>
        </w:rPr>
        <w:t xml:space="preserve"> </w:t>
      </w:r>
      <w:r>
        <w:t xml:space="preserve">Combining ETV with choroid plexus cauterization (ETV-CPC) has demonstrated improved outcomes in infants and in low-resource environments where shunt complications are more frequent (Yousaf </w:t>
      </w:r>
      <w:r>
        <w:rPr>
          <w:i/>
        </w:rPr>
        <w:t xml:space="preserve">et al., </w:t>
      </w:r>
      <w:r>
        <w:t>2018). Choice</w:t>
      </w:r>
      <w:r>
        <w:rPr>
          <w:spacing w:val="-6"/>
        </w:rPr>
        <w:t xml:space="preserve"> </w:t>
      </w:r>
      <w:r>
        <w:t>of</w:t>
      </w:r>
      <w:r>
        <w:rPr>
          <w:spacing w:val="-6"/>
        </w:rPr>
        <w:t xml:space="preserve"> </w:t>
      </w:r>
      <w:r>
        <w:t>i</w:t>
      </w:r>
      <w:r>
        <w:t>ntervention</w:t>
      </w:r>
      <w:r>
        <w:rPr>
          <w:spacing w:val="-6"/>
        </w:rPr>
        <w:t xml:space="preserve"> </w:t>
      </w:r>
      <w:r>
        <w:t>depends</w:t>
      </w:r>
      <w:r>
        <w:rPr>
          <w:spacing w:val="-6"/>
        </w:rPr>
        <w:t xml:space="preserve"> </w:t>
      </w:r>
      <w:r>
        <w:t>on</w:t>
      </w:r>
      <w:r>
        <w:rPr>
          <w:spacing w:val="-6"/>
        </w:rPr>
        <w:t xml:space="preserve"> </w:t>
      </w:r>
      <w:r>
        <w:t>etiology,</w:t>
      </w:r>
      <w:r>
        <w:rPr>
          <w:spacing w:val="-6"/>
        </w:rPr>
        <w:t xml:space="preserve"> </w:t>
      </w:r>
      <w:r>
        <w:t>patient age, and availability of neurosurgical expertise (</w:t>
      </w:r>
      <w:proofErr w:type="spellStart"/>
      <w:r>
        <w:t>Koleva</w:t>
      </w:r>
      <w:proofErr w:type="spellEnd"/>
      <w:r>
        <w:t xml:space="preserve"> and De </w:t>
      </w:r>
      <w:proofErr w:type="spellStart"/>
      <w:r>
        <w:t>Yesus</w:t>
      </w:r>
      <w:proofErr w:type="spellEnd"/>
      <w:r>
        <w:t>, 2025).</w:t>
      </w:r>
    </w:p>
    <w:p w14:paraId="2FB5D47C" w14:textId="77777777" w:rsidR="00F41228" w:rsidRDefault="00F119CE">
      <w:pPr>
        <w:pStyle w:val="BodyText"/>
        <w:spacing w:before="240" w:line="360" w:lineRule="auto"/>
        <w:ind w:left="1" w:right="17" w:firstLine="720"/>
        <w:jc w:val="both"/>
      </w:pPr>
      <w:r>
        <w:t>Management of CLP</w:t>
      </w:r>
      <w:r>
        <w:rPr>
          <w:spacing w:val="-7"/>
        </w:rPr>
        <w:t xml:space="preserve"> </w:t>
      </w:r>
      <w:r>
        <w:t>is</w:t>
      </w:r>
      <w:r>
        <w:rPr>
          <w:spacing w:val="-7"/>
        </w:rPr>
        <w:t xml:space="preserve"> </w:t>
      </w:r>
      <w:r>
        <w:t>fundamentally</w:t>
      </w:r>
      <w:r>
        <w:rPr>
          <w:spacing w:val="-7"/>
        </w:rPr>
        <w:t xml:space="preserve"> </w:t>
      </w:r>
      <w:r>
        <w:t>multidisciplinary,</w:t>
      </w:r>
      <w:r>
        <w:rPr>
          <w:spacing w:val="-7"/>
        </w:rPr>
        <w:t xml:space="preserve"> </w:t>
      </w:r>
      <w:r>
        <w:t>beginning</w:t>
      </w:r>
      <w:r>
        <w:rPr>
          <w:spacing w:val="-7"/>
        </w:rPr>
        <w:t xml:space="preserve"> </w:t>
      </w:r>
      <w:r>
        <w:t>with</w:t>
      </w:r>
      <w:r>
        <w:rPr>
          <w:spacing w:val="-7"/>
        </w:rPr>
        <w:t xml:space="preserve"> </w:t>
      </w:r>
      <w:r>
        <w:t>primary surgeries such as cheiloplasty at 3–6 months to reconstruct the lip and palatoplasty at 9–12 months to restore palatal function (Chaudhary, 2022). Presurgical orthopedic therapy</w:t>
      </w:r>
      <w:r>
        <w:rPr>
          <w:spacing w:val="30"/>
        </w:rPr>
        <w:t xml:space="preserve"> </w:t>
      </w:r>
      <w:r>
        <w:t>such</w:t>
      </w:r>
      <w:r>
        <w:rPr>
          <w:spacing w:val="30"/>
        </w:rPr>
        <w:t xml:space="preserve"> </w:t>
      </w:r>
      <w:r>
        <w:t>as</w:t>
      </w:r>
      <w:r>
        <w:rPr>
          <w:spacing w:val="30"/>
        </w:rPr>
        <w:t xml:space="preserve"> </w:t>
      </w:r>
      <w:proofErr w:type="spellStart"/>
      <w:r>
        <w:t>nasoalveolar</w:t>
      </w:r>
      <w:proofErr w:type="spellEnd"/>
      <w:r>
        <w:rPr>
          <w:spacing w:val="30"/>
        </w:rPr>
        <w:t xml:space="preserve"> </w:t>
      </w:r>
      <w:r>
        <w:t>molding</w:t>
      </w:r>
      <w:r>
        <w:rPr>
          <w:spacing w:val="30"/>
        </w:rPr>
        <w:t xml:space="preserve"> </w:t>
      </w:r>
      <w:r>
        <w:t>(NAM)</w:t>
      </w:r>
      <w:r>
        <w:rPr>
          <w:spacing w:val="30"/>
        </w:rPr>
        <w:t xml:space="preserve"> </w:t>
      </w:r>
      <w:r>
        <w:t>reduces</w:t>
      </w:r>
      <w:r>
        <w:rPr>
          <w:spacing w:val="30"/>
        </w:rPr>
        <w:t xml:space="preserve"> </w:t>
      </w:r>
      <w:r>
        <w:t>cleft</w:t>
      </w:r>
      <w:r>
        <w:rPr>
          <w:spacing w:val="30"/>
        </w:rPr>
        <w:t xml:space="preserve"> </w:t>
      </w:r>
      <w:r>
        <w:t>width</w:t>
      </w:r>
      <w:r>
        <w:rPr>
          <w:spacing w:val="30"/>
        </w:rPr>
        <w:t xml:space="preserve"> </w:t>
      </w:r>
      <w:r>
        <w:t>and</w:t>
      </w:r>
      <w:r>
        <w:rPr>
          <w:spacing w:val="15"/>
        </w:rPr>
        <w:t xml:space="preserve"> </w:t>
      </w:r>
      <w:r>
        <w:t>improves</w:t>
      </w:r>
      <w:r>
        <w:rPr>
          <w:spacing w:val="15"/>
        </w:rPr>
        <w:t xml:space="preserve"> </w:t>
      </w:r>
      <w:r>
        <w:rPr>
          <w:spacing w:val="-2"/>
        </w:rPr>
        <w:t>na</w:t>
      </w:r>
      <w:r>
        <w:rPr>
          <w:spacing w:val="-2"/>
        </w:rPr>
        <w:t>sal</w:t>
      </w:r>
    </w:p>
    <w:p w14:paraId="6DA559EF" w14:textId="77777777" w:rsidR="00F41228" w:rsidRDefault="00F41228">
      <w:pPr>
        <w:pStyle w:val="BodyText"/>
        <w:spacing w:line="360" w:lineRule="auto"/>
        <w:jc w:val="both"/>
        <w:sectPr w:rsidR="00F41228">
          <w:pgSz w:w="11920" w:h="16840"/>
          <w:pgMar w:top="640" w:right="1700" w:bottom="1180" w:left="1700" w:header="0" w:footer="1000" w:gutter="0"/>
          <w:cols w:space="720"/>
        </w:sectPr>
      </w:pPr>
    </w:p>
    <w:p w14:paraId="7B780B33" w14:textId="77777777" w:rsidR="00F41228" w:rsidRDefault="00F119CE">
      <w:pPr>
        <w:pStyle w:val="BodyText"/>
        <w:spacing w:before="61" w:line="360" w:lineRule="auto"/>
        <w:ind w:left="1" w:right="14"/>
        <w:jc w:val="both"/>
      </w:pPr>
      <w:r>
        <w:lastRenderedPageBreak/>
        <w:t>symmetry,</w:t>
      </w:r>
      <w:r>
        <w:rPr>
          <w:spacing w:val="80"/>
        </w:rPr>
        <w:t xml:space="preserve"> </w:t>
      </w:r>
      <w:r>
        <w:t>enhancing</w:t>
      </w:r>
      <w:r>
        <w:rPr>
          <w:spacing w:val="80"/>
        </w:rPr>
        <w:t xml:space="preserve"> </w:t>
      </w:r>
      <w:r>
        <w:t>surgical</w:t>
      </w:r>
      <w:r>
        <w:rPr>
          <w:spacing w:val="80"/>
        </w:rPr>
        <w:t xml:space="preserve"> </w:t>
      </w:r>
      <w:r>
        <w:t>outcomes</w:t>
      </w:r>
      <w:r>
        <w:rPr>
          <w:spacing w:val="80"/>
        </w:rPr>
        <w:t xml:space="preserve"> </w:t>
      </w:r>
      <w:r>
        <w:t>(Ma</w:t>
      </w:r>
      <w:r>
        <w:rPr>
          <w:spacing w:val="80"/>
        </w:rPr>
        <w:t xml:space="preserve"> </w:t>
      </w:r>
      <w:r>
        <w:t>et</w:t>
      </w:r>
      <w:r>
        <w:rPr>
          <w:spacing w:val="80"/>
        </w:rPr>
        <w:t xml:space="preserve"> </w:t>
      </w:r>
      <w:r>
        <w:t>al.,</w:t>
      </w:r>
      <w:r>
        <w:rPr>
          <w:spacing w:val="80"/>
        </w:rPr>
        <w:t xml:space="preserve"> </w:t>
      </w:r>
      <w:r>
        <w:t>2021).</w:t>
      </w:r>
      <w:r>
        <w:rPr>
          <w:spacing w:val="80"/>
        </w:rPr>
        <w:t xml:space="preserve"> </w:t>
      </w:r>
      <w:r>
        <w:t>Alveolar</w:t>
      </w:r>
      <w:r>
        <w:rPr>
          <w:spacing w:val="80"/>
        </w:rPr>
        <w:t xml:space="preserve"> </w:t>
      </w:r>
      <w:r>
        <w:t>bone grafting—traditionally using iliac crest bone—restores alveolar continuity and</w:t>
      </w:r>
      <w:r>
        <w:rPr>
          <w:spacing w:val="-4"/>
        </w:rPr>
        <w:t xml:space="preserve"> </w:t>
      </w:r>
      <w:r>
        <w:t>supports the eruption of permanent teeth (</w:t>
      </w:r>
      <w:proofErr w:type="spellStart"/>
      <w:r>
        <w:t>Nugraha</w:t>
      </w:r>
      <w:proofErr w:type="spellEnd"/>
      <w:r>
        <w:t xml:space="preserve"> et al., 2023). Innovations such as</w:t>
      </w:r>
      <w:r>
        <w:t xml:space="preserve"> β-TCP biomaterials offer a promising alternative with reduced donor-site morbidity (</w:t>
      </w:r>
      <w:proofErr w:type="spellStart"/>
      <w:r>
        <w:t>Nugraha</w:t>
      </w:r>
      <w:proofErr w:type="spellEnd"/>
      <w:r>
        <w:rPr>
          <w:spacing w:val="40"/>
        </w:rPr>
        <w:t xml:space="preserve"> </w:t>
      </w:r>
      <w:r>
        <w:t>et al., 2023).</w:t>
      </w:r>
    </w:p>
    <w:p w14:paraId="47529A97" w14:textId="77777777" w:rsidR="00F41228" w:rsidRDefault="00F41228">
      <w:pPr>
        <w:pStyle w:val="BodyText"/>
        <w:spacing w:before="138"/>
      </w:pPr>
    </w:p>
    <w:p w14:paraId="47015E75" w14:textId="77777777" w:rsidR="00F41228" w:rsidRDefault="00F119CE">
      <w:pPr>
        <w:pStyle w:val="BodyText"/>
        <w:spacing w:line="360" w:lineRule="auto"/>
        <w:ind w:left="1" w:right="15" w:firstLine="720"/>
        <w:jc w:val="both"/>
        <w:rPr>
          <w:rFonts w:ascii="Arial MT"/>
          <w:sz w:val="22"/>
        </w:rPr>
      </w:pPr>
      <w:r>
        <w:t>Long-term management involves orthodontic treatment to correct malocclusion and guide maxillofacial growth (</w:t>
      </w:r>
      <w:proofErr w:type="spellStart"/>
      <w:r>
        <w:t>Allareddy</w:t>
      </w:r>
      <w:proofErr w:type="spellEnd"/>
      <w:r>
        <w:t xml:space="preserve"> et al., 2021). Speech therapy</w:t>
      </w:r>
      <w:r>
        <w:t xml:space="preserve"> is</w:t>
      </w:r>
      <w:r>
        <w:rPr>
          <w:spacing w:val="-3"/>
        </w:rPr>
        <w:t xml:space="preserve"> </w:t>
      </w:r>
      <w:r>
        <w:t>essential</w:t>
      </w:r>
      <w:r>
        <w:rPr>
          <w:spacing w:val="-3"/>
        </w:rPr>
        <w:t xml:space="preserve"> </w:t>
      </w:r>
      <w:r>
        <w:t>for children with velopharyngeal dysfunction to improve articulation</w:t>
      </w:r>
      <w:r>
        <w:rPr>
          <w:spacing w:val="-4"/>
        </w:rPr>
        <w:t xml:space="preserve"> </w:t>
      </w:r>
      <w:r>
        <w:t>and</w:t>
      </w:r>
      <w:r>
        <w:rPr>
          <w:spacing w:val="-4"/>
        </w:rPr>
        <w:t xml:space="preserve"> </w:t>
      </w:r>
      <w:r>
        <w:t>resonance</w:t>
      </w:r>
      <w:r>
        <w:rPr>
          <w:spacing w:val="-4"/>
        </w:rPr>
        <w:t xml:space="preserve"> </w:t>
      </w:r>
      <w:r>
        <w:t>(</w:t>
      </w:r>
      <w:proofErr w:type="spellStart"/>
      <w:r>
        <w:t>Dewi</w:t>
      </w:r>
      <w:proofErr w:type="spellEnd"/>
      <w:r>
        <w:t>, 2019). Prosthodontic appliances such as obturators may be used in infants or in cases where surgical closure is delayed (</w:t>
      </w:r>
      <w:proofErr w:type="spellStart"/>
      <w:r>
        <w:t>Gandedkar</w:t>
      </w:r>
      <w:proofErr w:type="spellEnd"/>
      <w:r>
        <w:t xml:space="preserve"> et al., 2021). Psycho</w:t>
      </w:r>
      <w:r>
        <w:t>logical support is crucial to help patients and families address self-image and social challenges arising from facial differences (</w:t>
      </w:r>
      <w:proofErr w:type="spellStart"/>
      <w:r>
        <w:t>Allareddy</w:t>
      </w:r>
      <w:proofErr w:type="spellEnd"/>
      <w:r>
        <w:t xml:space="preserve"> et al., 2021)</w:t>
      </w:r>
      <w:r>
        <w:rPr>
          <w:rFonts w:ascii="Arial MT"/>
          <w:sz w:val="22"/>
        </w:rPr>
        <w:t>.</w:t>
      </w:r>
    </w:p>
    <w:p w14:paraId="1A9192E9" w14:textId="77777777" w:rsidR="00F41228" w:rsidRDefault="00F119CE">
      <w:pPr>
        <w:pStyle w:val="Heading2"/>
      </w:pPr>
      <w:r>
        <w:rPr>
          <w:spacing w:val="-2"/>
        </w:rPr>
        <w:t>Complications</w:t>
      </w:r>
    </w:p>
    <w:p w14:paraId="5DBDB767" w14:textId="77777777" w:rsidR="00F41228" w:rsidRDefault="00F41228">
      <w:pPr>
        <w:pStyle w:val="BodyText"/>
        <w:spacing w:before="102"/>
        <w:rPr>
          <w:b/>
        </w:rPr>
      </w:pPr>
    </w:p>
    <w:p w14:paraId="5231E48D" w14:textId="77777777" w:rsidR="00F41228" w:rsidRDefault="00F119CE">
      <w:pPr>
        <w:pStyle w:val="BodyText"/>
        <w:spacing w:line="360" w:lineRule="auto"/>
        <w:ind w:left="1" w:right="15" w:firstLine="720"/>
        <w:jc w:val="both"/>
      </w:pPr>
      <w:r>
        <w:t>Hydrocephalus</w:t>
      </w:r>
      <w:r>
        <w:rPr>
          <w:spacing w:val="80"/>
        </w:rPr>
        <w:t xml:space="preserve"> </w:t>
      </w:r>
      <w:r>
        <w:t>management</w:t>
      </w:r>
      <w:r>
        <w:rPr>
          <w:spacing w:val="80"/>
        </w:rPr>
        <w:t xml:space="preserve"> </w:t>
      </w:r>
      <w:r>
        <w:t>carries</w:t>
      </w:r>
      <w:r>
        <w:rPr>
          <w:spacing w:val="80"/>
        </w:rPr>
        <w:t xml:space="preserve"> </w:t>
      </w:r>
      <w:r>
        <w:t>substantial</w:t>
      </w:r>
      <w:r>
        <w:rPr>
          <w:spacing w:val="80"/>
        </w:rPr>
        <w:t xml:space="preserve"> </w:t>
      </w:r>
      <w:r>
        <w:t>risk</w:t>
      </w:r>
      <w:r>
        <w:rPr>
          <w:spacing w:val="80"/>
        </w:rPr>
        <w:t xml:space="preserve"> </w:t>
      </w:r>
      <w:r>
        <w:t>of</w:t>
      </w:r>
      <w:r>
        <w:rPr>
          <w:spacing w:val="80"/>
        </w:rPr>
        <w:t xml:space="preserve"> </w:t>
      </w:r>
      <w:r>
        <w:t>complications. Shunt-related</w:t>
      </w:r>
      <w:r>
        <w:rPr>
          <w:spacing w:val="40"/>
        </w:rPr>
        <w:t xml:space="preserve"> </w:t>
      </w:r>
      <w:r>
        <w:t>problems</w:t>
      </w:r>
      <w:r>
        <w:rPr>
          <w:spacing w:val="40"/>
        </w:rPr>
        <w:t xml:space="preserve"> </w:t>
      </w:r>
      <w:r>
        <w:t>are</w:t>
      </w:r>
      <w:r>
        <w:rPr>
          <w:spacing w:val="40"/>
        </w:rPr>
        <w:t xml:space="preserve"> </w:t>
      </w:r>
      <w:r>
        <w:t>common</w:t>
      </w:r>
      <w:r>
        <w:rPr>
          <w:spacing w:val="40"/>
        </w:rPr>
        <w:t xml:space="preserve"> </w:t>
      </w:r>
      <w:r>
        <w:t>and</w:t>
      </w:r>
      <w:r>
        <w:rPr>
          <w:spacing w:val="40"/>
        </w:rPr>
        <w:t xml:space="preserve"> </w:t>
      </w:r>
      <w:r>
        <w:t>include</w:t>
      </w:r>
      <w:r>
        <w:rPr>
          <w:spacing w:val="40"/>
        </w:rPr>
        <w:t xml:space="preserve"> </w:t>
      </w:r>
      <w:r>
        <w:t>proximal</w:t>
      </w:r>
      <w:r>
        <w:rPr>
          <w:spacing w:val="40"/>
        </w:rPr>
        <w:t xml:space="preserve"> </w:t>
      </w:r>
      <w:r>
        <w:t>or</w:t>
      </w:r>
      <w:r>
        <w:rPr>
          <w:spacing w:val="40"/>
        </w:rPr>
        <w:t xml:space="preserve"> </w:t>
      </w:r>
      <w:r>
        <w:t>distal</w:t>
      </w:r>
      <w:r>
        <w:rPr>
          <w:spacing w:val="40"/>
        </w:rPr>
        <w:t xml:space="preserve"> </w:t>
      </w:r>
      <w:r>
        <w:t>obstruction, over-drainage, mechanical malfunction, and infection (</w:t>
      </w:r>
      <w:proofErr w:type="spellStart"/>
      <w:r>
        <w:t>Permana</w:t>
      </w:r>
      <w:proofErr w:type="spellEnd"/>
      <w:r>
        <w:t>, 2018). Shunt infections, occurring in roughly 5 to 8 percent of cases, may lead to meningitis, perit</w:t>
      </w:r>
      <w:r>
        <w:t>onitis, or systemic sepsis, often necessitating shunt removal and antibiotic therapy (</w:t>
      </w:r>
      <w:proofErr w:type="spellStart"/>
      <w:r>
        <w:t>Koleva</w:t>
      </w:r>
      <w:proofErr w:type="spellEnd"/>
      <w:r>
        <w:t xml:space="preserve"> and De </w:t>
      </w:r>
      <w:proofErr w:type="spellStart"/>
      <w:r>
        <w:t>Yesus</w:t>
      </w:r>
      <w:proofErr w:type="spellEnd"/>
      <w:r>
        <w:t>, 2025). ETV-related complications include hemorrhage, basilar artery injury, CSF leak, and failure of stoma patency, although infection rates remain l</w:t>
      </w:r>
      <w:r>
        <w:t xml:space="preserve">ower compared to shunt procedures (Anwar </w:t>
      </w:r>
      <w:r>
        <w:rPr>
          <w:i/>
        </w:rPr>
        <w:t xml:space="preserve">et al., </w:t>
      </w:r>
      <w:r>
        <w:t xml:space="preserve">2024). Pediatric patients frequently require multiple shunt revisions across their lifetime as growth and mechanical failure contribute to recurrent malfunction (Yousaf </w:t>
      </w:r>
      <w:r>
        <w:rPr>
          <w:i/>
        </w:rPr>
        <w:t>et</w:t>
      </w:r>
      <w:r>
        <w:rPr>
          <w:i/>
          <w:spacing w:val="-5"/>
        </w:rPr>
        <w:t xml:space="preserve"> </w:t>
      </w:r>
      <w:r>
        <w:rPr>
          <w:i/>
        </w:rPr>
        <w:t>al.,</w:t>
      </w:r>
      <w:r>
        <w:rPr>
          <w:i/>
          <w:spacing w:val="-5"/>
        </w:rPr>
        <w:t xml:space="preserve"> </w:t>
      </w:r>
      <w:r>
        <w:t>2018).</w:t>
      </w:r>
      <w:r>
        <w:rPr>
          <w:spacing w:val="-5"/>
        </w:rPr>
        <w:t xml:space="preserve"> </w:t>
      </w:r>
      <w:r>
        <w:t>These</w:t>
      </w:r>
      <w:r>
        <w:rPr>
          <w:spacing w:val="-5"/>
        </w:rPr>
        <w:t xml:space="preserve"> </w:t>
      </w:r>
      <w:r>
        <w:t>complications</w:t>
      </w:r>
      <w:r>
        <w:rPr>
          <w:spacing w:val="-5"/>
        </w:rPr>
        <w:t xml:space="preserve"> </w:t>
      </w:r>
      <w:r>
        <w:t>hig</w:t>
      </w:r>
      <w:r>
        <w:t>hlight the need for meticulous long-term follow-up.</w:t>
      </w:r>
    </w:p>
    <w:p w14:paraId="5F19D1E8" w14:textId="77777777" w:rsidR="00F41228" w:rsidRDefault="00F119CE">
      <w:pPr>
        <w:pStyle w:val="BodyText"/>
        <w:spacing w:before="240" w:line="360" w:lineRule="auto"/>
        <w:ind w:left="1" w:right="14" w:firstLine="720"/>
        <w:jc w:val="both"/>
      </w:pPr>
      <w:r>
        <w:t>Surgical complications may include wound dehiscence, infection, and palatal fistula formation, particularly in wide or syndromic clefts (</w:t>
      </w:r>
      <w:proofErr w:type="spellStart"/>
      <w:r>
        <w:t>Dewi</w:t>
      </w:r>
      <w:proofErr w:type="spellEnd"/>
      <w:r>
        <w:t>, 2019). Persistent velopharyngeal insufficiency may occur even</w:t>
      </w:r>
      <w:r>
        <w:t xml:space="preserve"> after palatoplasty, resulting in nasal air escape and impaired speech (Chaudhary, 2022). Eustachian tube dysfunction often continues</w:t>
      </w:r>
      <w:r>
        <w:rPr>
          <w:spacing w:val="43"/>
        </w:rPr>
        <w:t xml:space="preserve"> </w:t>
      </w:r>
      <w:r>
        <w:t>postoperatively,</w:t>
      </w:r>
      <w:r>
        <w:rPr>
          <w:spacing w:val="43"/>
        </w:rPr>
        <w:t xml:space="preserve"> </w:t>
      </w:r>
      <w:r>
        <w:t>predisposing</w:t>
      </w:r>
      <w:r>
        <w:rPr>
          <w:spacing w:val="43"/>
        </w:rPr>
        <w:t xml:space="preserve"> </w:t>
      </w:r>
      <w:r>
        <w:t>patients</w:t>
      </w:r>
      <w:r>
        <w:rPr>
          <w:spacing w:val="43"/>
        </w:rPr>
        <w:t xml:space="preserve"> </w:t>
      </w:r>
      <w:r>
        <w:t>to</w:t>
      </w:r>
      <w:r>
        <w:rPr>
          <w:spacing w:val="43"/>
        </w:rPr>
        <w:t xml:space="preserve"> </w:t>
      </w:r>
      <w:r>
        <w:t>recurrent</w:t>
      </w:r>
      <w:r>
        <w:rPr>
          <w:spacing w:val="43"/>
        </w:rPr>
        <w:t xml:space="preserve"> </w:t>
      </w:r>
      <w:r>
        <w:t>otitis</w:t>
      </w:r>
      <w:r>
        <w:rPr>
          <w:spacing w:val="29"/>
        </w:rPr>
        <w:t xml:space="preserve"> </w:t>
      </w:r>
      <w:r>
        <w:t>media</w:t>
      </w:r>
      <w:r>
        <w:rPr>
          <w:spacing w:val="28"/>
        </w:rPr>
        <w:t xml:space="preserve"> </w:t>
      </w:r>
      <w:r>
        <w:t>and</w:t>
      </w:r>
      <w:r>
        <w:rPr>
          <w:spacing w:val="29"/>
        </w:rPr>
        <w:t xml:space="preserve"> </w:t>
      </w:r>
      <w:r>
        <w:rPr>
          <w:spacing w:val="-2"/>
        </w:rPr>
        <w:t>hearing</w:t>
      </w:r>
    </w:p>
    <w:p w14:paraId="7C96A591" w14:textId="77777777" w:rsidR="00F41228" w:rsidRDefault="00F41228">
      <w:pPr>
        <w:pStyle w:val="BodyText"/>
        <w:spacing w:line="360" w:lineRule="auto"/>
        <w:jc w:val="both"/>
        <w:sectPr w:rsidR="00F41228">
          <w:pgSz w:w="11920" w:h="16840"/>
          <w:pgMar w:top="1640" w:right="1700" w:bottom="1200" w:left="1700" w:header="0" w:footer="1000" w:gutter="0"/>
          <w:cols w:space="720"/>
        </w:sectPr>
      </w:pPr>
    </w:p>
    <w:p w14:paraId="42F6AEB1" w14:textId="77777777" w:rsidR="00F41228" w:rsidRDefault="00F41228">
      <w:pPr>
        <w:pStyle w:val="BodyText"/>
        <w:rPr>
          <w:i/>
          <w:sz w:val="22"/>
        </w:rPr>
      </w:pPr>
    </w:p>
    <w:p w14:paraId="0C98A2A8" w14:textId="77777777" w:rsidR="00F41228" w:rsidRDefault="00F41228">
      <w:pPr>
        <w:pStyle w:val="BodyText"/>
        <w:spacing w:before="234"/>
        <w:rPr>
          <w:i/>
          <w:sz w:val="22"/>
        </w:rPr>
      </w:pPr>
    </w:p>
    <w:p w14:paraId="56A4BF27" w14:textId="77777777" w:rsidR="00F41228" w:rsidRDefault="00F119CE">
      <w:pPr>
        <w:pStyle w:val="BodyText"/>
        <w:spacing w:line="360" w:lineRule="auto"/>
        <w:ind w:left="1" w:right="25"/>
      </w:pPr>
      <w:r>
        <w:t>loss (Chaudhary, 2022). These complications may necessitate additional surgeries and long-term monitoring (</w:t>
      </w:r>
      <w:proofErr w:type="spellStart"/>
      <w:r>
        <w:t>Allareddy</w:t>
      </w:r>
      <w:proofErr w:type="spellEnd"/>
      <w:r>
        <w:t xml:space="preserve"> et al., 2021).</w:t>
      </w:r>
    </w:p>
    <w:p w14:paraId="094616E2" w14:textId="77777777" w:rsidR="00F41228" w:rsidRDefault="00F41228">
      <w:pPr>
        <w:pStyle w:val="BodyText"/>
        <w:spacing w:before="138"/>
      </w:pPr>
    </w:p>
    <w:p w14:paraId="60E89C2A" w14:textId="77777777" w:rsidR="00F41228" w:rsidRDefault="00F119CE">
      <w:pPr>
        <w:pStyle w:val="BodyText"/>
        <w:spacing w:line="360" w:lineRule="auto"/>
        <w:ind w:left="1" w:right="16" w:firstLine="720"/>
        <w:jc w:val="both"/>
      </w:pPr>
      <w:r>
        <w:t>As children grow, maxillary hypoplasia and midface retrusion may develop, requiring orthodontic intervention or orthognathic</w:t>
      </w:r>
      <w:r>
        <w:rPr>
          <w:spacing w:val="-5"/>
        </w:rPr>
        <w:t xml:space="preserve"> </w:t>
      </w:r>
      <w:r>
        <w:t>surgery</w:t>
      </w:r>
      <w:r>
        <w:rPr>
          <w:spacing w:val="-5"/>
        </w:rPr>
        <w:t xml:space="preserve"> </w:t>
      </w:r>
      <w:r>
        <w:t>in</w:t>
      </w:r>
      <w:r>
        <w:rPr>
          <w:spacing w:val="-5"/>
        </w:rPr>
        <w:t xml:space="preserve"> </w:t>
      </w:r>
      <w:r>
        <w:t>adolescence</w:t>
      </w:r>
      <w:r>
        <w:rPr>
          <w:spacing w:val="-5"/>
        </w:rPr>
        <w:t xml:space="preserve"> </w:t>
      </w:r>
      <w:r>
        <w:t>(</w:t>
      </w:r>
      <w:proofErr w:type="spellStart"/>
      <w:r>
        <w:t>Eldesouky</w:t>
      </w:r>
      <w:proofErr w:type="spellEnd"/>
      <w:r>
        <w:rPr>
          <w:spacing w:val="-5"/>
        </w:rPr>
        <w:t xml:space="preserve"> </w:t>
      </w:r>
      <w:r>
        <w:t xml:space="preserve">&amp; </w:t>
      </w:r>
      <w:proofErr w:type="spellStart"/>
      <w:r>
        <w:t>Elbarbary</w:t>
      </w:r>
      <w:proofErr w:type="spellEnd"/>
      <w:r>
        <w:t xml:space="preserve">, 2023). Dental crowding, agenesis, and malocclusion are frequent and complicate oral </w:t>
      </w:r>
      <w:r>
        <w:t>hygiene, potentially increasing caries risk (Chaudhary, 2022). Patients may also experience nasal deformities that affect both function and aesthetics, sometimes requiring secondary rhinoplasty (</w:t>
      </w:r>
      <w:proofErr w:type="spellStart"/>
      <w:r>
        <w:t>Eldesouky</w:t>
      </w:r>
      <w:proofErr w:type="spellEnd"/>
      <w:r>
        <w:t xml:space="preserve"> &amp; </w:t>
      </w:r>
      <w:proofErr w:type="spellStart"/>
      <w:r>
        <w:t>Elbarbary</w:t>
      </w:r>
      <w:proofErr w:type="spellEnd"/>
      <w:r>
        <w:t>, 2023). Psychosocial problems—including</w:t>
      </w:r>
      <w:r>
        <w:t xml:space="preserve"> anxiety, bullying,</w:t>
      </w:r>
      <w:r>
        <w:rPr>
          <w:spacing w:val="-7"/>
        </w:rPr>
        <w:t xml:space="preserve"> </w:t>
      </w:r>
      <w:r>
        <w:t>and</w:t>
      </w:r>
      <w:r>
        <w:rPr>
          <w:spacing w:val="-7"/>
        </w:rPr>
        <w:t xml:space="preserve"> </w:t>
      </w:r>
      <w:r>
        <w:t>low</w:t>
      </w:r>
      <w:r>
        <w:rPr>
          <w:spacing w:val="-7"/>
        </w:rPr>
        <w:t xml:space="preserve"> </w:t>
      </w:r>
      <w:r>
        <w:t>confidence—are</w:t>
      </w:r>
      <w:r>
        <w:rPr>
          <w:spacing w:val="-7"/>
        </w:rPr>
        <w:t xml:space="preserve"> </w:t>
      </w:r>
      <w:r>
        <w:t>common without continuous psychological and social support (</w:t>
      </w:r>
      <w:proofErr w:type="spellStart"/>
      <w:r>
        <w:t>Allareddy</w:t>
      </w:r>
      <w:proofErr w:type="spellEnd"/>
      <w:r>
        <w:t xml:space="preserve"> et al., 2021).</w:t>
      </w:r>
    </w:p>
    <w:p w14:paraId="56BBDCB6" w14:textId="77777777" w:rsidR="00F41228" w:rsidRDefault="00F119CE">
      <w:pPr>
        <w:pStyle w:val="Heading2"/>
      </w:pPr>
      <w:r>
        <w:rPr>
          <w:spacing w:val="-2"/>
        </w:rPr>
        <w:t>Prognosis</w:t>
      </w:r>
    </w:p>
    <w:p w14:paraId="000F09B6" w14:textId="77777777" w:rsidR="00F41228" w:rsidRDefault="00F41228">
      <w:pPr>
        <w:pStyle w:val="BodyText"/>
        <w:spacing w:before="102"/>
        <w:rPr>
          <w:b/>
        </w:rPr>
      </w:pPr>
    </w:p>
    <w:p w14:paraId="5BF44B8E" w14:textId="77777777" w:rsidR="00F41228" w:rsidRDefault="00F119CE">
      <w:pPr>
        <w:pStyle w:val="BodyText"/>
        <w:spacing w:line="360" w:lineRule="auto"/>
        <w:ind w:left="1" w:right="13" w:firstLine="225"/>
        <w:jc w:val="both"/>
      </w:pPr>
      <w:r>
        <w:t>Prognosis is influenced by the underlying etiology, age at diagnosis, and promptness of intervention (</w:t>
      </w:r>
      <w:proofErr w:type="spellStart"/>
      <w:r>
        <w:t>Permana</w:t>
      </w:r>
      <w:proofErr w:type="spellEnd"/>
      <w:r>
        <w:t>,</w:t>
      </w:r>
      <w:r>
        <w:rPr>
          <w:spacing w:val="-3"/>
        </w:rPr>
        <w:t xml:space="preserve"> </w:t>
      </w:r>
      <w:r>
        <w:t>2018).</w:t>
      </w:r>
      <w:r>
        <w:rPr>
          <w:spacing w:val="-3"/>
        </w:rPr>
        <w:t xml:space="preserve"> </w:t>
      </w:r>
      <w:r>
        <w:t>Early</w:t>
      </w:r>
      <w:r>
        <w:rPr>
          <w:spacing w:val="-3"/>
        </w:rPr>
        <w:t xml:space="preserve"> </w:t>
      </w:r>
      <w:r>
        <w:t>surgical</w:t>
      </w:r>
      <w:r>
        <w:rPr>
          <w:spacing w:val="-3"/>
        </w:rPr>
        <w:t xml:space="preserve"> </w:t>
      </w:r>
      <w:r>
        <w:t>treatment</w:t>
      </w:r>
      <w:r>
        <w:rPr>
          <w:spacing w:val="-3"/>
        </w:rPr>
        <w:t xml:space="preserve"> </w:t>
      </w:r>
      <w:r>
        <w:t>generally</w:t>
      </w:r>
      <w:r>
        <w:rPr>
          <w:spacing w:val="-3"/>
        </w:rPr>
        <w:t xml:space="preserve"> </w:t>
      </w:r>
      <w:r>
        <w:t>results</w:t>
      </w:r>
      <w:r>
        <w:rPr>
          <w:spacing w:val="-3"/>
        </w:rPr>
        <w:t xml:space="preserve"> </w:t>
      </w:r>
      <w:r>
        <w:t>in</w:t>
      </w:r>
      <w:r>
        <w:rPr>
          <w:spacing w:val="-3"/>
        </w:rPr>
        <w:t xml:space="preserve"> </w:t>
      </w:r>
      <w:r>
        <w:t>significant improvement in neurological function and overall quality</w:t>
      </w:r>
      <w:r>
        <w:rPr>
          <w:spacing w:val="-5"/>
        </w:rPr>
        <w:t xml:space="preserve"> </w:t>
      </w:r>
      <w:r>
        <w:t>of</w:t>
      </w:r>
      <w:r>
        <w:rPr>
          <w:spacing w:val="-5"/>
        </w:rPr>
        <w:t xml:space="preserve"> </w:t>
      </w:r>
      <w:r>
        <w:t>life</w:t>
      </w:r>
      <w:r>
        <w:rPr>
          <w:spacing w:val="-5"/>
        </w:rPr>
        <w:t xml:space="preserve"> </w:t>
      </w:r>
      <w:r>
        <w:t>(</w:t>
      </w:r>
      <w:proofErr w:type="spellStart"/>
      <w:r>
        <w:t>Koleva</w:t>
      </w:r>
      <w:proofErr w:type="spellEnd"/>
      <w:r>
        <w:rPr>
          <w:spacing w:val="-5"/>
        </w:rPr>
        <w:t xml:space="preserve"> </w:t>
      </w:r>
      <w:r>
        <w:t>and</w:t>
      </w:r>
      <w:r>
        <w:rPr>
          <w:spacing w:val="-5"/>
        </w:rPr>
        <w:t xml:space="preserve"> </w:t>
      </w:r>
      <w:r>
        <w:t>De</w:t>
      </w:r>
      <w:r>
        <w:rPr>
          <w:spacing w:val="-5"/>
        </w:rPr>
        <w:t xml:space="preserve"> </w:t>
      </w:r>
      <w:proofErr w:type="spellStart"/>
      <w:r>
        <w:t>Yesus</w:t>
      </w:r>
      <w:proofErr w:type="spellEnd"/>
      <w:r>
        <w:t>, 2025). However, infants with severe congenital hydrocephalus may continue to experience cognitive and developm</w:t>
      </w:r>
      <w:r>
        <w:t>ental delays despite appropriate management</w:t>
      </w:r>
      <w:r>
        <w:rPr>
          <w:spacing w:val="40"/>
        </w:rPr>
        <w:t xml:space="preserve"> </w:t>
      </w:r>
      <w:r>
        <w:t xml:space="preserve">(Anwar </w:t>
      </w:r>
      <w:r>
        <w:rPr>
          <w:i/>
        </w:rPr>
        <w:t xml:space="preserve">et al., </w:t>
      </w:r>
      <w:r>
        <w:t>2024). Long-term monitoring is essential because approximately half of shunt failures occur within the first six months following placement, necessitating repeated interventions to</w:t>
      </w:r>
      <w:r>
        <w:rPr>
          <w:spacing w:val="-3"/>
        </w:rPr>
        <w:t xml:space="preserve"> </w:t>
      </w:r>
      <w:r>
        <w:t>maintain</w:t>
      </w:r>
      <w:r>
        <w:rPr>
          <w:spacing w:val="-3"/>
        </w:rPr>
        <w:t xml:space="preserve"> </w:t>
      </w:r>
      <w:r>
        <w:t>CSF</w:t>
      </w:r>
      <w:r>
        <w:rPr>
          <w:spacing w:val="-3"/>
        </w:rPr>
        <w:t xml:space="preserve"> </w:t>
      </w:r>
      <w:r>
        <w:t>reg</w:t>
      </w:r>
      <w:r>
        <w:t>ulation</w:t>
      </w:r>
      <w:r>
        <w:rPr>
          <w:spacing w:val="-3"/>
        </w:rPr>
        <w:t xml:space="preserve"> </w:t>
      </w:r>
      <w:r>
        <w:t>(</w:t>
      </w:r>
      <w:proofErr w:type="spellStart"/>
      <w:r>
        <w:t>Permana</w:t>
      </w:r>
      <w:proofErr w:type="spellEnd"/>
      <w:r>
        <w:t>,</w:t>
      </w:r>
      <w:r>
        <w:rPr>
          <w:spacing w:val="-3"/>
        </w:rPr>
        <w:t xml:space="preserve"> </w:t>
      </w:r>
      <w:r>
        <w:t>2018).</w:t>
      </w:r>
      <w:r>
        <w:rPr>
          <w:spacing w:val="-3"/>
        </w:rPr>
        <w:t xml:space="preserve"> </w:t>
      </w:r>
      <w:r>
        <w:t>The</w:t>
      </w:r>
      <w:r>
        <w:rPr>
          <w:spacing w:val="-3"/>
        </w:rPr>
        <w:t xml:space="preserve"> </w:t>
      </w:r>
      <w:r>
        <w:t>combination</w:t>
      </w:r>
      <w:r>
        <w:rPr>
          <w:spacing w:val="-3"/>
        </w:rPr>
        <w:t xml:space="preserve"> </w:t>
      </w:r>
      <w:r>
        <w:t xml:space="preserve">of timely diagnosis and appropriate neurosurgical care significantly enhances long-term outcomes across patient populations (Yousaf </w:t>
      </w:r>
      <w:r>
        <w:rPr>
          <w:i/>
        </w:rPr>
        <w:t xml:space="preserve">et al., </w:t>
      </w:r>
      <w:r>
        <w:t>2018).</w:t>
      </w:r>
    </w:p>
    <w:p w14:paraId="46036885" w14:textId="77777777" w:rsidR="00F41228" w:rsidRDefault="00F41228">
      <w:pPr>
        <w:pStyle w:val="BodyText"/>
        <w:spacing w:line="360" w:lineRule="auto"/>
        <w:jc w:val="both"/>
        <w:sectPr w:rsidR="00F41228">
          <w:pgSz w:w="11920" w:h="16840"/>
          <w:pgMar w:top="640" w:right="1700" w:bottom="1180" w:left="1700" w:header="0" w:footer="1000" w:gutter="0"/>
          <w:cols w:space="720"/>
        </w:sectPr>
      </w:pPr>
    </w:p>
    <w:p w14:paraId="0BCD86F1" w14:textId="77777777" w:rsidR="00F41228" w:rsidRDefault="00F119CE">
      <w:pPr>
        <w:pStyle w:val="BodyText"/>
        <w:ind w:left="1507"/>
        <w:rPr>
          <w:sz w:val="20"/>
        </w:rPr>
      </w:pPr>
      <w:r>
        <w:rPr>
          <w:noProof/>
          <w:sz w:val="20"/>
        </w:rPr>
        <w:lastRenderedPageBreak/>
        <w:drawing>
          <wp:inline distT="0" distB="0" distL="0" distR="0" wp14:anchorId="55BF5108" wp14:editId="279473AE">
            <wp:extent cx="4408828" cy="30384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4408828" cy="3038475"/>
                    </a:xfrm>
                    <a:prstGeom prst="rect">
                      <a:avLst/>
                    </a:prstGeom>
                  </pic:spPr>
                </pic:pic>
              </a:graphicData>
            </a:graphic>
          </wp:inline>
        </w:drawing>
      </w:r>
    </w:p>
    <w:p w14:paraId="66BE901C" w14:textId="77777777" w:rsidR="00F41228" w:rsidRDefault="00F119CE">
      <w:pPr>
        <w:pStyle w:val="BodyText"/>
        <w:spacing w:before="2"/>
        <w:rPr>
          <w:sz w:val="16"/>
        </w:rPr>
      </w:pPr>
      <w:r>
        <w:rPr>
          <w:noProof/>
          <w:sz w:val="16"/>
        </w:rPr>
        <w:drawing>
          <wp:anchor distT="0" distB="0" distL="0" distR="0" simplePos="0" relativeHeight="487589376" behindDoc="1" locked="0" layoutInCell="1" allowOverlap="1" wp14:anchorId="0526908A" wp14:editId="3383A5B2">
            <wp:simplePos x="0" y="0"/>
            <wp:positionH relativeFrom="page">
              <wp:posOffset>2632237</wp:posOffset>
            </wp:positionH>
            <wp:positionV relativeFrom="paragraph">
              <wp:posOffset>133920</wp:posOffset>
            </wp:positionV>
            <wp:extent cx="3209925" cy="206692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3209925" cy="2066925"/>
                    </a:xfrm>
                    <a:prstGeom prst="rect">
                      <a:avLst/>
                    </a:prstGeom>
                  </pic:spPr>
                </pic:pic>
              </a:graphicData>
            </a:graphic>
          </wp:anchor>
        </w:drawing>
      </w:r>
    </w:p>
    <w:p w14:paraId="37AB63BB" w14:textId="77777777" w:rsidR="00F41228" w:rsidRDefault="00F119CE">
      <w:pPr>
        <w:spacing w:before="190" w:line="360" w:lineRule="auto"/>
        <w:ind w:left="991" w:right="14" w:hanging="990"/>
        <w:jc w:val="both"/>
      </w:pPr>
      <w:r>
        <w:rPr>
          <w:b/>
        </w:rPr>
        <w:t>Figure</w:t>
      </w:r>
      <w:r>
        <w:rPr>
          <w:b/>
          <w:spacing w:val="-2"/>
        </w:rPr>
        <w:t xml:space="preserve"> </w:t>
      </w:r>
      <w:r>
        <w:rPr>
          <w:b/>
        </w:rPr>
        <w:t>4.</w:t>
      </w:r>
      <w:r>
        <w:rPr>
          <w:b/>
          <w:spacing w:val="40"/>
        </w:rPr>
        <w:t xml:space="preserve"> </w:t>
      </w:r>
      <w:r>
        <w:t>Figure 4. A, Isolated cleft palate (class II). B, Unilateral cleft lip (class II). C, Unilateral complete cleft lip and palate (class III). D, Bilateral incomplete cleft lip and palate (class IV). E, Bilateral complete cleft lip and palate with laterally d</w:t>
      </w:r>
      <w:r>
        <w:t>isplaced premaxillary segment (class IV).</w:t>
      </w:r>
    </w:p>
    <w:p w14:paraId="451DC371" w14:textId="77777777" w:rsidR="00F41228" w:rsidRDefault="00F41228">
      <w:pPr>
        <w:pStyle w:val="BodyText"/>
        <w:spacing w:before="126"/>
        <w:rPr>
          <w:sz w:val="22"/>
        </w:rPr>
      </w:pPr>
    </w:p>
    <w:p w14:paraId="21DF9CF8" w14:textId="77777777" w:rsidR="00F41228" w:rsidRDefault="00F119CE">
      <w:pPr>
        <w:pStyle w:val="BodyText"/>
        <w:spacing w:line="360" w:lineRule="auto"/>
        <w:ind w:left="1" w:right="14" w:firstLine="720"/>
        <w:jc w:val="both"/>
      </w:pPr>
      <w:r>
        <w:t>When treated early and comprehensively, children with CLP generally achieve good functional outcomes in feeding, speech, and</w:t>
      </w:r>
      <w:r>
        <w:rPr>
          <w:spacing w:val="-5"/>
        </w:rPr>
        <w:t xml:space="preserve"> </w:t>
      </w:r>
      <w:r>
        <w:t>facial</w:t>
      </w:r>
      <w:r>
        <w:rPr>
          <w:spacing w:val="-5"/>
        </w:rPr>
        <w:t xml:space="preserve"> </w:t>
      </w:r>
      <w:r>
        <w:t>appearance</w:t>
      </w:r>
      <w:r>
        <w:rPr>
          <w:spacing w:val="-5"/>
        </w:rPr>
        <w:t xml:space="preserve"> </w:t>
      </w:r>
      <w:r>
        <w:t>(Chaudhary,</w:t>
      </w:r>
      <w:r>
        <w:rPr>
          <w:spacing w:val="-5"/>
        </w:rPr>
        <w:t xml:space="preserve"> </w:t>
      </w:r>
      <w:r>
        <w:t>2022). Prognosis depends on cleft severity, presence of as</w:t>
      </w:r>
      <w:r>
        <w:t>sociated anomalies, timing of</w:t>
      </w:r>
      <w:r>
        <w:rPr>
          <w:spacing w:val="40"/>
        </w:rPr>
        <w:t xml:space="preserve"> </w:t>
      </w:r>
      <w:r>
        <w:t>surgery, and access to skilled multidisciplinary care (</w:t>
      </w:r>
      <w:proofErr w:type="spellStart"/>
      <w:r>
        <w:t>Dewi</w:t>
      </w:r>
      <w:proofErr w:type="spellEnd"/>
      <w:r>
        <w:t>, 2019). Improvements in surgical techniques, such as refined palatoplasty approaches, have enhanced speech outcomes</w:t>
      </w:r>
      <w:r>
        <w:rPr>
          <w:spacing w:val="45"/>
        </w:rPr>
        <w:t xml:space="preserve"> </w:t>
      </w:r>
      <w:r>
        <w:t>and</w:t>
      </w:r>
      <w:r>
        <w:rPr>
          <w:spacing w:val="45"/>
        </w:rPr>
        <w:t xml:space="preserve"> </w:t>
      </w:r>
      <w:r>
        <w:t>reduced</w:t>
      </w:r>
      <w:r>
        <w:rPr>
          <w:spacing w:val="45"/>
        </w:rPr>
        <w:t xml:space="preserve"> </w:t>
      </w:r>
      <w:r>
        <w:t>postoperative</w:t>
      </w:r>
      <w:r>
        <w:rPr>
          <w:spacing w:val="45"/>
        </w:rPr>
        <w:t xml:space="preserve"> </w:t>
      </w:r>
      <w:r>
        <w:t>complications</w:t>
      </w:r>
      <w:r>
        <w:rPr>
          <w:spacing w:val="45"/>
        </w:rPr>
        <w:t xml:space="preserve"> </w:t>
      </w:r>
      <w:r>
        <w:t>(</w:t>
      </w:r>
      <w:proofErr w:type="spellStart"/>
      <w:r>
        <w:t>Nugraha</w:t>
      </w:r>
      <w:proofErr w:type="spellEnd"/>
      <w:r>
        <w:rPr>
          <w:spacing w:val="30"/>
        </w:rPr>
        <w:t xml:space="preserve"> </w:t>
      </w:r>
      <w:r>
        <w:t>e</w:t>
      </w:r>
      <w:r>
        <w:t>t</w:t>
      </w:r>
      <w:r>
        <w:rPr>
          <w:spacing w:val="30"/>
        </w:rPr>
        <w:t xml:space="preserve"> </w:t>
      </w:r>
      <w:r>
        <w:t>al.,</w:t>
      </w:r>
      <w:r>
        <w:rPr>
          <w:spacing w:val="30"/>
        </w:rPr>
        <w:t xml:space="preserve"> </w:t>
      </w:r>
      <w:r>
        <w:t>2023).</w:t>
      </w:r>
      <w:r>
        <w:rPr>
          <w:spacing w:val="30"/>
        </w:rPr>
        <w:t xml:space="preserve"> </w:t>
      </w:r>
      <w:r>
        <w:t>Early</w:t>
      </w:r>
      <w:r>
        <w:rPr>
          <w:spacing w:val="30"/>
        </w:rPr>
        <w:t xml:space="preserve"> </w:t>
      </w:r>
      <w:r>
        <w:rPr>
          <w:spacing w:val="-5"/>
        </w:rPr>
        <w:t>and</w:t>
      </w:r>
    </w:p>
    <w:p w14:paraId="1A95A48C" w14:textId="77777777" w:rsidR="00F41228" w:rsidRDefault="00F41228">
      <w:pPr>
        <w:pStyle w:val="BodyText"/>
        <w:spacing w:line="360" w:lineRule="auto"/>
        <w:jc w:val="both"/>
        <w:sectPr w:rsidR="00F41228">
          <w:pgSz w:w="11920" w:h="16840"/>
          <w:pgMar w:top="1740" w:right="1700" w:bottom="1200" w:left="1700" w:header="0" w:footer="1000" w:gutter="0"/>
          <w:cols w:space="720"/>
        </w:sectPr>
      </w:pPr>
    </w:p>
    <w:p w14:paraId="2CC14326" w14:textId="77777777" w:rsidR="00F41228" w:rsidRDefault="00F41228">
      <w:pPr>
        <w:pStyle w:val="BodyText"/>
        <w:rPr>
          <w:i/>
          <w:sz w:val="22"/>
        </w:rPr>
      </w:pPr>
    </w:p>
    <w:p w14:paraId="0D39C487" w14:textId="77777777" w:rsidR="00F41228" w:rsidRDefault="00F41228">
      <w:pPr>
        <w:pStyle w:val="BodyText"/>
        <w:spacing w:before="234"/>
        <w:rPr>
          <w:i/>
          <w:sz w:val="22"/>
        </w:rPr>
      </w:pPr>
    </w:p>
    <w:p w14:paraId="7C351999" w14:textId="77777777" w:rsidR="00F41228" w:rsidRDefault="00F119CE">
      <w:pPr>
        <w:pStyle w:val="BodyText"/>
        <w:spacing w:line="360" w:lineRule="auto"/>
        <w:ind w:left="1" w:right="27"/>
        <w:jc w:val="both"/>
      </w:pPr>
      <w:r>
        <w:t>consistent speech and orthodontic therapy further improve long-term functional results (</w:t>
      </w:r>
      <w:proofErr w:type="spellStart"/>
      <w:r>
        <w:t>Allareddy</w:t>
      </w:r>
      <w:proofErr w:type="spellEnd"/>
      <w:r>
        <w:t xml:space="preserve"> et al., 2021).</w:t>
      </w:r>
    </w:p>
    <w:p w14:paraId="1C240961" w14:textId="77777777" w:rsidR="00F41228" w:rsidRDefault="00F41228">
      <w:pPr>
        <w:pStyle w:val="BodyText"/>
        <w:spacing w:before="138"/>
      </w:pPr>
    </w:p>
    <w:p w14:paraId="2D889F63" w14:textId="77777777" w:rsidR="00F41228" w:rsidRDefault="00F119CE">
      <w:pPr>
        <w:pStyle w:val="BodyText"/>
        <w:spacing w:line="360" w:lineRule="auto"/>
        <w:ind w:left="1" w:right="15" w:firstLine="720"/>
        <w:jc w:val="both"/>
      </w:pPr>
      <w:r>
        <w:t>Despite advances, CLP patients often require lifelong follow-up due to the dynamic nature of facial growth and dental development (</w:t>
      </w:r>
      <w:proofErr w:type="spellStart"/>
      <w:r>
        <w:t>Allareddy</w:t>
      </w:r>
      <w:proofErr w:type="spellEnd"/>
      <w:r>
        <w:t xml:space="preserve"> et al., 2021). Secondary surgeries—such as alveolar bone graft revisions, velopharyngeal surgery, or orthognathic c</w:t>
      </w:r>
      <w:r>
        <w:t>orrection—may be needed during adolescence (</w:t>
      </w:r>
      <w:proofErr w:type="spellStart"/>
      <w:r>
        <w:t>Eldesouky</w:t>
      </w:r>
      <w:proofErr w:type="spellEnd"/>
      <w:r>
        <w:t xml:space="preserve"> &amp; </w:t>
      </w:r>
      <w:proofErr w:type="spellStart"/>
      <w:r>
        <w:t>Elbarbary</w:t>
      </w:r>
      <w:proofErr w:type="spellEnd"/>
      <w:r>
        <w:t>, 2023). Long-term speech outcomes vary, particularly in patients with wide clefts or syndromic involvement (</w:t>
      </w:r>
      <w:proofErr w:type="spellStart"/>
      <w:r>
        <w:t>Dewi</w:t>
      </w:r>
      <w:proofErr w:type="spellEnd"/>
      <w:r>
        <w:t>, 2019). Overall, prognosis improves significantly when patients receive coord</w:t>
      </w:r>
      <w:r>
        <w:t>inated multidisciplinary care from infancy to adulthood (Chaudhary, 2022).</w:t>
      </w:r>
    </w:p>
    <w:p w14:paraId="6D5767F0" w14:textId="77777777" w:rsidR="00F41228" w:rsidRDefault="00F41228">
      <w:pPr>
        <w:pStyle w:val="BodyText"/>
        <w:spacing w:before="258"/>
      </w:pPr>
    </w:p>
    <w:p w14:paraId="4D3B4D42" w14:textId="77777777" w:rsidR="00F41228" w:rsidRDefault="00F119CE">
      <w:pPr>
        <w:pStyle w:val="Heading1"/>
      </w:pPr>
      <w:r>
        <w:rPr>
          <w:spacing w:val="-2"/>
        </w:rPr>
        <w:t>CONCLUSION</w:t>
      </w:r>
    </w:p>
    <w:p w14:paraId="770FCC8B" w14:textId="77777777" w:rsidR="00F41228" w:rsidRDefault="00F119CE">
      <w:pPr>
        <w:pStyle w:val="BodyText"/>
        <w:spacing w:before="258" w:line="360" w:lineRule="auto"/>
        <w:ind w:left="1" w:right="16"/>
        <w:jc w:val="both"/>
      </w:pPr>
      <w:r>
        <w:t>It can be concluded that hydrocephalus and cleft lip and palate (CLP) are congenital abnormalities that have a significant impact on children's health</w:t>
      </w:r>
      <w:r>
        <w:rPr>
          <w:spacing w:val="-3"/>
        </w:rPr>
        <w:t xml:space="preserve"> </w:t>
      </w:r>
      <w:r>
        <w:t>and</w:t>
      </w:r>
      <w:r>
        <w:rPr>
          <w:spacing w:val="-3"/>
        </w:rPr>
        <w:t xml:space="preserve"> </w:t>
      </w:r>
      <w:r>
        <w:t>development,</w:t>
      </w:r>
      <w:r>
        <w:rPr>
          <w:spacing w:val="-3"/>
        </w:rPr>
        <w:t xml:space="preserve"> </w:t>
      </w:r>
      <w:r>
        <w:t>b</w:t>
      </w:r>
      <w:r>
        <w:t>oth in terms of neurological aspects and</w:t>
      </w:r>
      <w:r>
        <w:rPr>
          <w:spacing w:val="-3"/>
        </w:rPr>
        <w:t xml:space="preserve"> </w:t>
      </w:r>
      <w:r>
        <w:t>craniofacial</w:t>
      </w:r>
      <w:r>
        <w:rPr>
          <w:spacing w:val="-3"/>
        </w:rPr>
        <w:t xml:space="preserve"> </w:t>
      </w:r>
      <w:r>
        <w:t>function.</w:t>
      </w:r>
      <w:r>
        <w:rPr>
          <w:spacing w:val="-3"/>
        </w:rPr>
        <w:t xml:space="preserve"> </w:t>
      </w:r>
      <w:r>
        <w:t>Hydrocephalus</w:t>
      </w:r>
      <w:r>
        <w:rPr>
          <w:spacing w:val="-3"/>
        </w:rPr>
        <w:t xml:space="preserve"> </w:t>
      </w:r>
      <w:r>
        <w:t>occurs</w:t>
      </w:r>
      <w:r>
        <w:rPr>
          <w:spacing w:val="-3"/>
        </w:rPr>
        <w:t xml:space="preserve"> </w:t>
      </w:r>
      <w:r>
        <w:t>due</w:t>
      </w:r>
      <w:r>
        <w:rPr>
          <w:spacing w:val="-3"/>
        </w:rPr>
        <w:t xml:space="preserve"> </w:t>
      </w:r>
      <w:r>
        <w:t>to impaired cerebrospinal fluid circulation which causes increased intracranial pressure</w:t>
      </w:r>
      <w:r>
        <w:rPr>
          <w:spacing w:val="40"/>
        </w:rPr>
        <w:t xml:space="preserve"> </w:t>
      </w:r>
      <w:r>
        <w:t>and the risk of permanent brain damage, thus requiring early detection and surgical treatment such as a ventriculoperitoneal shunt or endoscopic third ventriculostomy.</w:t>
      </w:r>
      <w:r>
        <w:t xml:space="preserve"> Meanwhile, CLP is a disorder caused by the failure of embryonic tissue fusion that impacts speech, eating, facial aesthetics, and the patient's psychological function, so it requires early multidisciplinary treatment through surgical correction, speech th</w:t>
      </w:r>
      <w:r>
        <w:t>erapy, orthodontics, and psychosocial support. Overall, these two conditions require a comprehensive approach with long-term care and</w:t>
      </w:r>
      <w:r>
        <w:rPr>
          <w:spacing w:val="-3"/>
        </w:rPr>
        <w:t xml:space="preserve"> </w:t>
      </w:r>
      <w:r>
        <w:t>further</w:t>
      </w:r>
      <w:r>
        <w:rPr>
          <w:spacing w:val="-3"/>
        </w:rPr>
        <w:t xml:space="preserve"> </w:t>
      </w:r>
      <w:r>
        <w:t>research</w:t>
      </w:r>
      <w:r>
        <w:rPr>
          <w:spacing w:val="-3"/>
        </w:rPr>
        <w:t xml:space="preserve"> </w:t>
      </w:r>
      <w:r>
        <w:t>to</w:t>
      </w:r>
      <w:r>
        <w:rPr>
          <w:spacing w:val="-3"/>
        </w:rPr>
        <w:t xml:space="preserve"> </w:t>
      </w:r>
      <w:r>
        <w:t>improve</w:t>
      </w:r>
      <w:r>
        <w:rPr>
          <w:spacing w:val="-3"/>
        </w:rPr>
        <w:t xml:space="preserve"> </w:t>
      </w:r>
      <w:r>
        <w:t>quality</w:t>
      </w:r>
      <w:r>
        <w:rPr>
          <w:spacing w:val="-3"/>
        </w:rPr>
        <w:t xml:space="preserve"> </w:t>
      </w:r>
      <w:r>
        <w:t>of life, expand access to health services, and better understand the role of genetic a</w:t>
      </w:r>
      <w:r>
        <w:t>nd environmental factors in their etiology.</w:t>
      </w:r>
    </w:p>
    <w:p w14:paraId="3426DC18" w14:textId="77777777" w:rsidR="00F41228" w:rsidRDefault="00F41228">
      <w:pPr>
        <w:pStyle w:val="BodyText"/>
        <w:spacing w:before="138"/>
      </w:pPr>
    </w:p>
    <w:p w14:paraId="51D65843" w14:textId="77777777" w:rsidR="00F41228" w:rsidRDefault="00F119CE">
      <w:pPr>
        <w:pStyle w:val="Heading1"/>
      </w:pPr>
      <w:r>
        <w:rPr>
          <w:spacing w:val="-2"/>
        </w:rPr>
        <w:t>REFERENCES</w:t>
      </w:r>
    </w:p>
    <w:p w14:paraId="2704F07C" w14:textId="77777777" w:rsidR="00F41228" w:rsidRDefault="00F41228">
      <w:pPr>
        <w:pStyle w:val="BodyText"/>
        <w:spacing w:before="102"/>
        <w:rPr>
          <w:b/>
        </w:rPr>
      </w:pPr>
    </w:p>
    <w:p w14:paraId="038A9F57" w14:textId="77777777" w:rsidR="00F41228" w:rsidRDefault="00F119CE">
      <w:pPr>
        <w:pStyle w:val="BodyText"/>
        <w:spacing w:line="360" w:lineRule="auto"/>
        <w:ind w:left="676" w:right="17" w:hanging="675"/>
        <w:jc w:val="both"/>
      </w:pPr>
      <w:proofErr w:type="spellStart"/>
      <w:r>
        <w:t>Allareddy</w:t>
      </w:r>
      <w:proofErr w:type="spellEnd"/>
      <w:r>
        <w:t>, V., Ross, E. dan Nembhard, W.N. (2021)</w:t>
      </w:r>
      <w:r>
        <w:rPr>
          <w:spacing w:val="-9"/>
        </w:rPr>
        <w:t xml:space="preserve"> </w:t>
      </w:r>
      <w:r>
        <w:t>'Multidisciplinary</w:t>
      </w:r>
      <w:r>
        <w:rPr>
          <w:spacing w:val="-9"/>
        </w:rPr>
        <w:t xml:space="preserve"> </w:t>
      </w:r>
      <w:r>
        <w:t>care</w:t>
      </w:r>
      <w:r>
        <w:rPr>
          <w:spacing w:val="-9"/>
        </w:rPr>
        <w:t xml:space="preserve"> </w:t>
      </w:r>
      <w:r>
        <w:t>for</w:t>
      </w:r>
      <w:r>
        <w:rPr>
          <w:spacing w:val="-9"/>
        </w:rPr>
        <w:t xml:space="preserve"> </w:t>
      </w:r>
      <w:r>
        <w:t>children with</w:t>
      </w:r>
      <w:r>
        <w:rPr>
          <w:spacing w:val="40"/>
        </w:rPr>
        <w:t xml:space="preserve"> </w:t>
      </w:r>
      <w:r>
        <w:t>orofacial</w:t>
      </w:r>
      <w:r>
        <w:rPr>
          <w:spacing w:val="40"/>
        </w:rPr>
        <w:t xml:space="preserve"> </w:t>
      </w:r>
      <w:r>
        <w:t>clefts:</w:t>
      </w:r>
      <w:r>
        <w:rPr>
          <w:spacing w:val="40"/>
        </w:rPr>
        <w:t xml:space="preserve"> </w:t>
      </w:r>
      <w:r>
        <w:t>a</w:t>
      </w:r>
      <w:r>
        <w:rPr>
          <w:spacing w:val="40"/>
        </w:rPr>
        <w:t xml:space="preserve"> </w:t>
      </w:r>
      <w:r>
        <w:t>systematic</w:t>
      </w:r>
      <w:r>
        <w:rPr>
          <w:spacing w:val="40"/>
        </w:rPr>
        <w:t xml:space="preserve"> </w:t>
      </w:r>
      <w:r>
        <w:t>review</w:t>
      </w:r>
      <w:r>
        <w:rPr>
          <w:spacing w:val="40"/>
        </w:rPr>
        <w:t xml:space="preserve"> </w:t>
      </w:r>
      <w:r>
        <w:t>and</w:t>
      </w:r>
      <w:r>
        <w:rPr>
          <w:spacing w:val="40"/>
        </w:rPr>
        <w:t xml:space="preserve"> </w:t>
      </w:r>
      <w:r>
        <w:t>meta-analysis',</w:t>
      </w:r>
      <w:r>
        <w:rPr>
          <w:spacing w:val="40"/>
        </w:rPr>
        <w:t xml:space="preserve"> </w:t>
      </w:r>
      <w:r>
        <w:rPr>
          <w:i/>
        </w:rPr>
        <w:t>The</w:t>
      </w:r>
      <w:r>
        <w:rPr>
          <w:i/>
          <w:spacing w:val="40"/>
        </w:rPr>
        <w:t xml:space="preserve"> </w:t>
      </w:r>
      <w:r>
        <w:rPr>
          <w:i/>
        </w:rPr>
        <w:t>Cleft Palate-Craniofacial Journal</w:t>
      </w:r>
      <w:r>
        <w:t>, 58(7), pp.</w:t>
      </w:r>
      <w:r>
        <w:t xml:space="preserve"> 835-847.</w:t>
      </w:r>
    </w:p>
    <w:p w14:paraId="780F7B5C" w14:textId="77777777" w:rsidR="00F41228" w:rsidRDefault="00F41228">
      <w:pPr>
        <w:pStyle w:val="BodyText"/>
        <w:spacing w:line="360" w:lineRule="auto"/>
        <w:jc w:val="both"/>
        <w:sectPr w:rsidR="00F41228">
          <w:pgSz w:w="11920" w:h="16840"/>
          <w:pgMar w:top="640" w:right="1700" w:bottom="1180" w:left="1700" w:header="0" w:footer="1000" w:gutter="0"/>
          <w:cols w:space="720"/>
        </w:sectPr>
      </w:pPr>
    </w:p>
    <w:p w14:paraId="04FC5F74" w14:textId="77777777" w:rsidR="00F41228" w:rsidRDefault="00F119CE">
      <w:pPr>
        <w:spacing w:before="61" w:line="360" w:lineRule="auto"/>
        <w:ind w:left="571" w:right="20" w:hanging="570"/>
        <w:jc w:val="both"/>
        <w:rPr>
          <w:sz w:val="24"/>
        </w:rPr>
      </w:pPr>
      <w:r>
        <w:rPr>
          <w:sz w:val="24"/>
        </w:rPr>
        <w:lastRenderedPageBreak/>
        <w:t xml:space="preserve">Anwar, F. </w:t>
      </w:r>
      <w:r>
        <w:rPr>
          <w:i/>
          <w:sz w:val="24"/>
        </w:rPr>
        <w:t xml:space="preserve">et al. </w:t>
      </w:r>
      <w:r>
        <w:rPr>
          <w:sz w:val="24"/>
        </w:rPr>
        <w:t>(2024) ‘Hydrocephalus: An update on latest progress in pathophysiological and therapeutic</w:t>
      </w:r>
      <w:r>
        <w:rPr>
          <w:spacing w:val="-5"/>
          <w:sz w:val="24"/>
        </w:rPr>
        <w:t xml:space="preserve"> </w:t>
      </w:r>
      <w:r>
        <w:rPr>
          <w:sz w:val="24"/>
        </w:rPr>
        <w:t>research’,</w:t>
      </w:r>
      <w:r>
        <w:rPr>
          <w:spacing w:val="-5"/>
          <w:sz w:val="24"/>
        </w:rPr>
        <w:t xml:space="preserve"> </w:t>
      </w:r>
      <w:r>
        <w:rPr>
          <w:i/>
          <w:sz w:val="24"/>
        </w:rPr>
        <w:t>Biomedicine</w:t>
      </w:r>
      <w:r>
        <w:rPr>
          <w:i/>
          <w:spacing w:val="-5"/>
          <w:sz w:val="24"/>
        </w:rPr>
        <w:t xml:space="preserve"> </w:t>
      </w:r>
      <w:r>
        <w:rPr>
          <w:i/>
          <w:sz w:val="24"/>
        </w:rPr>
        <w:t>and</w:t>
      </w:r>
      <w:r>
        <w:rPr>
          <w:i/>
          <w:spacing w:val="-5"/>
          <w:sz w:val="24"/>
        </w:rPr>
        <w:t xml:space="preserve"> </w:t>
      </w:r>
      <w:r>
        <w:rPr>
          <w:i/>
          <w:sz w:val="24"/>
        </w:rPr>
        <w:t>Pharmacotherapy</w:t>
      </w:r>
      <w:r>
        <w:rPr>
          <w:sz w:val="24"/>
        </w:rPr>
        <w:t>, 181(November), p. 117702</w:t>
      </w:r>
    </w:p>
    <w:p w14:paraId="60E68F53" w14:textId="77777777" w:rsidR="00F41228" w:rsidRDefault="00F119CE">
      <w:pPr>
        <w:pStyle w:val="BodyText"/>
        <w:spacing w:before="240" w:line="360" w:lineRule="auto"/>
        <w:ind w:left="676" w:right="22" w:hanging="675"/>
        <w:jc w:val="both"/>
      </w:pPr>
      <w:r>
        <w:t>Carswell, C. (2023). Idiopathic normal pressure hydrocephalus:</w:t>
      </w:r>
      <w:r>
        <w:rPr>
          <w:spacing w:val="-4"/>
        </w:rPr>
        <w:t xml:space="preserve"> </w:t>
      </w:r>
      <w:r>
        <w:t>historical</w:t>
      </w:r>
      <w:r>
        <w:rPr>
          <w:spacing w:val="-4"/>
        </w:rPr>
        <w:t xml:space="preserve"> </w:t>
      </w:r>
      <w:r>
        <w:t>context</w:t>
      </w:r>
      <w:r>
        <w:rPr>
          <w:spacing w:val="-4"/>
        </w:rPr>
        <w:t xml:space="preserve"> </w:t>
      </w:r>
      <w:r>
        <w:t>and</w:t>
      </w:r>
      <w:r>
        <w:rPr>
          <w:spacing w:val="-4"/>
        </w:rPr>
        <w:t xml:space="preserve"> </w:t>
      </w:r>
      <w:r>
        <w:t xml:space="preserve">a contemporary guide. </w:t>
      </w:r>
      <w:proofErr w:type="spellStart"/>
      <w:r>
        <w:rPr>
          <w:i/>
        </w:rPr>
        <w:t>Pract</w:t>
      </w:r>
      <w:proofErr w:type="spellEnd"/>
      <w:r>
        <w:rPr>
          <w:i/>
        </w:rPr>
        <w:t xml:space="preserve"> Neurol</w:t>
      </w:r>
      <w:r>
        <w:t xml:space="preserve">, 23(1), 15–22. </w:t>
      </w:r>
      <w:proofErr w:type="spellStart"/>
      <w:r>
        <w:t>doi</w:t>
      </w:r>
      <w:proofErr w:type="spellEnd"/>
      <w:r>
        <w:t>: 10.1136/pn-2021-003291.</w:t>
      </w:r>
    </w:p>
    <w:p w14:paraId="0815471C" w14:textId="77777777" w:rsidR="00F41228" w:rsidRDefault="00F119CE">
      <w:pPr>
        <w:spacing w:before="240" w:line="360" w:lineRule="auto"/>
        <w:ind w:left="676" w:right="17" w:hanging="675"/>
        <w:jc w:val="both"/>
        <w:rPr>
          <w:sz w:val="24"/>
        </w:rPr>
      </w:pPr>
      <w:r>
        <w:rPr>
          <w:sz w:val="24"/>
        </w:rPr>
        <w:t>Chaudhary, S. (2022).</w:t>
      </w:r>
      <w:r>
        <w:rPr>
          <w:spacing w:val="-4"/>
          <w:sz w:val="24"/>
        </w:rPr>
        <w:t xml:space="preserve"> </w:t>
      </w:r>
      <w:r>
        <w:rPr>
          <w:sz w:val="24"/>
        </w:rPr>
        <w:t>Cleft</w:t>
      </w:r>
      <w:r>
        <w:rPr>
          <w:spacing w:val="-4"/>
          <w:sz w:val="24"/>
        </w:rPr>
        <w:t xml:space="preserve"> </w:t>
      </w:r>
      <w:r>
        <w:rPr>
          <w:sz w:val="24"/>
        </w:rPr>
        <w:t>Lip</w:t>
      </w:r>
      <w:r>
        <w:rPr>
          <w:spacing w:val="-4"/>
          <w:sz w:val="24"/>
        </w:rPr>
        <w:t xml:space="preserve"> </w:t>
      </w:r>
      <w:r>
        <w:rPr>
          <w:sz w:val="24"/>
        </w:rPr>
        <w:t>and</w:t>
      </w:r>
      <w:r>
        <w:rPr>
          <w:spacing w:val="-4"/>
          <w:sz w:val="24"/>
        </w:rPr>
        <w:t xml:space="preserve"> </w:t>
      </w:r>
      <w:r>
        <w:rPr>
          <w:sz w:val="24"/>
        </w:rPr>
        <w:t>Palate</w:t>
      </w:r>
      <w:r>
        <w:rPr>
          <w:spacing w:val="-4"/>
          <w:sz w:val="24"/>
        </w:rPr>
        <w:t xml:space="preserve"> </w:t>
      </w:r>
      <w:r>
        <w:rPr>
          <w:sz w:val="24"/>
        </w:rPr>
        <w:t>–</w:t>
      </w:r>
      <w:r>
        <w:rPr>
          <w:spacing w:val="-4"/>
          <w:sz w:val="24"/>
        </w:rPr>
        <w:t xml:space="preserve"> </w:t>
      </w:r>
      <w:r>
        <w:rPr>
          <w:sz w:val="24"/>
        </w:rPr>
        <w:t>A</w:t>
      </w:r>
      <w:r>
        <w:rPr>
          <w:spacing w:val="-4"/>
          <w:sz w:val="24"/>
        </w:rPr>
        <w:t xml:space="preserve"> </w:t>
      </w:r>
      <w:r>
        <w:rPr>
          <w:sz w:val="24"/>
        </w:rPr>
        <w:t>Review</w:t>
      </w:r>
      <w:r>
        <w:rPr>
          <w:spacing w:val="-4"/>
          <w:sz w:val="24"/>
        </w:rPr>
        <w:t xml:space="preserve"> </w:t>
      </w:r>
      <w:r>
        <w:rPr>
          <w:sz w:val="24"/>
        </w:rPr>
        <w:t>Article.</w:t>
      </w:r>
      <w:r>
        <w:rPr>
          <w:spacing w:val="-4"/>
          <w:sz w:val="24"/>
        </w:rPr>
        <w:t xml:space="preserve"> </w:t>
      </w:r>
      <w:r>
        <w:rPr>
          <w:i/>
          <w:sz w:val="24"/>
        </w:rPr>
        <w:t>International</w:t>
      </w:r>
      <w:r>
        <w:rPr>
          <w:i/>
          <w:spacing w:val="-4"/>
          <w:sz w:val="24"/>
        </w:rPr>
        <w:t xml:space="preserve"> </w:t>
      </w:r>
      <w:r>
        <w:rPr>
          <w:i/>
          <w:sz w:val="24"/>
        </w:rPr>
        <w:t>Journal</w:t>
      </w:r>
      <w:r>
        <w:rPr>
          <w:i/>
          <w:spacing w:val="-4"/>
          <w:sz w:val="24"/>
        </w:rPr>
        <w:t xml:space="preserve"> </w:t>
      </w:r>
      <w:r>
        <w:rPr>
          <w:i/>
          <w:sz w:val="24"/>
        </w:rPr>
        <w:t>of Research and Review</w:t>
      </w:r>
      <w:r>
        <w:rPr>
          <w:sz w:val="24"/>
        </w:rPr>
        <w:t xml:space="preserve">, 9(7), 236–243. </w:t>
      </w:r>
      <w:hyperlink r:id="rId14">
        <w:r>
          <w:rPr>
            <w:color w:val="1154CC"/>
            <w:sz w:val="24"/>
            <w:u w:val="thick" w:color="1154CC"/>
          </w:rPr>
          <w:t>https://doi.org/10.52403/ijrr.20220727</w:t>
        </w:r>
      </w:hyperlink>
    </w:p>
    <w:p w14:paraId="3355BC7D" w14:textId="77777777" w:rsidR="00F41228" w:rsidRDefault="00F119CE">
      <w:pPr>
        <w:spacing w:before="240" w:line="360" w:lineRule="auto"/>
        <w:ind w:left="676" w:right="13" w:hanging="675"/>
        <w:jc w:val="both"/>
        <w:rPr>
          <w:sz w:val="24"/>
        </w:rPr>
      </w:pPr>
      <w:proofErr w:type="spellStart"/>
      <w:r>
        <w:rPr>
          <w:sz w:val="24"/>
        </w:rPr>
        <w:t>Dewi</w:t>
      </w:r>
      <w:proofErr w:type="spellEnd"/>
      <w:r>
        <w:rPr>
          <w:sz w:val="24"/>
        </w:rPr>
        <w:t xml:space="preserve">, P. S. (2019). </w:t>
      </w:r>
      <w:r>
        <w:rPr>
          <w:i/>
          <w:sz w:val="24"/>
        </w:rPr>
        <w:t>Management of Cleft Lip and Palate (Literature Review)</w:t>
      </w:r>
      <w:r>
        <w:rPr>
          <w:sz w:val="24"/>
        </w:rPr>
        <w:t xml:space="preserve">. </w:t>
      </w:r>
      <w:proofErr w:type="spellStart"/>
      <w:r>
        <w:rPr>
          <w:sz w:val="24"/>
        </w:rPr>
        <w:t>Fakultas</w:t>
      </w:r>
      <w:proofErr w:type="spellEnd"/>
      <w:r>
        <w:rPr>
          <w:sz w:val="24"/>
        </w:rPr>
        <w:t xml:space="preserve"> </w:t>
      </w:r>
      <w:proofErr w:type="spellStart"/>
      <w:r>
        <w:rPr>
          <w:sz w:val="24"/>
        </w:rPr>
        <w:t>Kedokteran</w:t>
      </w:r>
      <w:proofErr w:type="spellEnd"/>
      <w:r>
        <w:rPr>
          <w:sz w:val="24"/>
        </w:rPr>
        <w:t xml:space="preserve"> Gigi Universitas </w:t>
      </w:r>
      <w:proofErr w:type="spellStart"/>
      <w:r>
        <w:rPr>
          <w:sz w:val="24"/>
        </w:rPr>
        <w:t>Mahasar</w:t>
      </w:r>
      <w:r>
        <w:rPr>
          <w:sz w:val="24"/>
        </w:rPr>
        <w:t>aswati</w:t>
      </w:r>
      <w:proofErr w:type="spellEnd"/>
      <w:r>
        <w:rPr>
          <w:sz w:val="24"/>
        </w:rPr>
        <w:t xml:space="preserve"> Denpasar.</w:t>
      </w:r>
    </w:p>
    <w:p w14:paraId="7B2CCD8A" w14:textId="77777777" w:rsidR="00F41228" w:rsidRDefault="00F119CE">
      <w:pPr>
        <w:pStyle w:val="BodyText"/>
        <w:spacing w:before="240" w:line="360" w:lineRule="auto"/>
        <w:ind w:left="676" w:right="25" w:hanging="675"/>
        <w:jc w:val="both"/>
      </w:pPr>
      <w:proofErr w:type="spellStart"/>
      <w:r>
        <w:t>Eldesouky</w:t>
      </w:r>
      <w:proofErr w:type="spellEnd"/>
      <w:r>
        <w:t>,</w:t>
      </w:r>
      <w:r>
        <w:rPr>
          <w:spacing w:val="-8"/>
        </w:rPr>
        <w:t xml:space="preserve"> </w:t>
      </w:r>
      <w:r>
        <w:t>R.</w:t>
      </w:r>
      <w:r>
        <w:rPr>
          <w:spacing w:val="-8"/>
        </w:rPr>
        <w:t xml:space="preserve"> </w:t>
      </w:r>
      <w:r>
        <w:t>&amp;</w:t>
      </w:r>
      <w:r>
        <w:rPr>
          <w:spacing w:val="-8"/>
        </w:rPr>
        <w:t xml:space="preserve"> </w:t>
      </w:r>
      <w:proofErr w:type="spellStart"/>
      <w:r>
        <w:t>Elbarbary</w:t>
      </w:r>
      <w:proofErr w:type="spellEnd"/>
      <w:r>
        <w:t>,</w:t>
      </w:r>
      <w:r>
        <w:rPr>
          <w:spacing w:val="-8"/>
        </w:rPr>
        <w:t xml:space="preserve"> </w:t>
      </w:r>
      <w:r>
        <w:t>A.</w:t>
      </w:r>
      <w:r>
        <w:rPr>
          <w:spacing w:val="-8"/>
        </w:rPr>
        <w:t xml:space="preserve"> </w:t>
      </w:r>
      <w:r>
        <w:t>(2023).</w:t>
      </w:r>
      <w:r>
        <w:rPr>
          <w:spacing w:val="-8"/>
        </w:rPr>
        <w:t xml:space="preserve"> </w:t>
      </w:r>
      <w:r>
        <w:t>Definitive</w:t>
      </w:r>
      <w:r>
        <w:rPr>
          <w:spacing w:val="-8"/>
        </w:rPr>
        <w:t xml:space="preserve"> </w:t>
      </w:r>
      <w:r>
        <w:t>Rhinoplasty</w:t>
      </w:r>
      <w:r>
        <w:rPr>
          <w:spacing w:val="-8"/>
        </w:rPr>
        <w:t xml:space="preserve"> </w:t>
      </w:r>
      <w:r>
        <w:t>and</w:t>
      </w:r>
      <w:r>
        <w:rPr>
          <w:spacing w:val="-8"/>
        </w:rPr>
        <w:t xml:space="preserve"> </w:t>
      </w:r>
      <w:r>
        <w:t>Orthognathic</w:t>
      </w:r>
      <w:r>
        <w:rPr>
          <w:spacing w:val="-8"/>
        </w:rPr>
        <w:t xml:space="preserve"> </w:t>
      </w:r>
      <w:r>
        <w:t xml:space="preserve">Surgery for Patients with Cleft Lip Palate. </w:t>
      </w:r>
      <w:r>
        <w:rPr>
          <w:i/>
        </w:rPr>
        <w:t xml:space="preserve">Oral </w:t>
      </w:r>
      <w:proofErr w:type="spellStart"/>
      <w:r>
        <w:rPr>
          <w:i/>
        </w:rPr>
        <w:t>Maxillofac</w:t>
      </w:r>
      <w:proofErr w:type="spellEnd"/>
      <w:r>
        <w:rPr>
          <w:i/>
        </w:rPr>
        <w:t xml:space="preserve"> Surg Clin North Am</w:t>
      </w:r>
      <w:r>
        <w:t xml:space="preserve">, 35(1), 127–137. </w:t>
      </w:r>
      <w:proofErr w:type="spellStart"/>
      <w:r>
        <w:t>doi</w:t>
      </w:r>
      <w:proofErr w:type="spellEnd"/>
      <w:r>
        <w:t>: 10.1016/j.coms.2022.06.011.</w:t>
      </w:r>
    </w:p>
    <w:p w14:paraId="00D627F0" w14:textId="77777777" w:rsidR="00F41228" w:rsidRDefault="00F119CE">
      <w:pPr>
        <w:spacing w:before="240" w:line="360" w:lineRule="auto"/>
        <w:ind w:left="676" w:right="15" w:hanging="675"/>
        <w:jc w:val="both"/>
        <w:rPr>
          <w:sz w:val="24"/>
        </w:rPr>
      </w:pPr>
      <w:proofErr w:type="spellStart"/>
      <w:r>
        <w:rPr>
          <w:sz w:val="24"/>
        </w:rPr>
        <w:t>Gandedkar</w:t>
      </w:r>
      <w:proofErr w:type="spellEnd"/>
      <w:r>
        <w:rPr>
          <w:sz w:val="24"/>
        </w:rPr>
        <w:t xml:space="preserve">, N.H., </w:t>
      </w:r>
      <w:proofErr w:type="spellStart"/>
      <w:r>
        <w:rPr>
          <w:sz w:val="24"/>
        </w:rPr>
        <w:t>Raste</w:t>
      </w:r>
      <w:proofErr w:type="spellEnd"/>
      <w:r>
        <w:rPr>
          <w:sz w:val="24"/>
        </w:rPr>
        <w:t>, Y.A., Ku</w:t>
      </w:r>
      <w:r>
        <w:rPr>
          <w:sz w:val="24"/>
        </w:rPr>
        <w:t xml:space="preserve">lkarni, A. dan Khandelwal, P. (2021) 'Prosthodontic management of a pediatric patient with cleft lip and palate: a clinical report', </w:t>
      </w:r>
      <w:r>
        <w:rPr>
          <w:i/>
          <w:sz w:val="24"/>
        </w:rPr>
        <w:t>Journal of Indian Society of Pedodontics and Preventive Dentistry</w:t>
      </w:r>
      <w:r>
        <w:rPr>
          <w:sz w:val="24"/>
        </w:rPr>
        <w:t xml:space="preserve">, 39(2), pp. </w:t>
      </w:r>
      <w:r>
        <w:rPr>
          <w:spacing w:val="-2"/>
          <w:sz w:val="24"/>
        </w:rPr>
        <w:t>209-212.</w:t>
      </w:r>
    </w:p>
    <w:p w14:paraId="32C6DEF5" w14:textId="77777777" w:rsidR="00F41228" w:rsidRDefault="00F119CE">
      <w:pPr>
        <w:pStyle w:val="BodyText"/>
        <w:spacing w:before="240" w:line="360" w:lineRule="auto"/>
        <w:ind w:left="676" w:right="20" w:hanging="675"/>
        <w:jc w:val="both"/>
      </w:pPr>
      <w:r>
        <w:t xml:space="preserve">Kahle, K. T., </w:t>
      </w:r>
      <w:proofErr w:type="spellStart"/>
      <w:r>
        <w:t>Klinge</w:t>
      </w:r>
      <w:proofErr w:type="spellEnd"/>
      <w:r>
        <w:t xml:space="preserve">, P. M., </w:t>
      </w:r>
      <w:proofErr w:type="spellStart"/>
      <w:r>
        <w:t>Koschni</w:t>
      </w:r>
      <w:r>
        <w:t>tzky</w:t>
      </w:r>
      <w:proofErr w:type="spellEnd"/>
      <w:r>
        <w:t>, J. E., Kulkarni, A. V., MacAulay, N., Robinson,</w:t>
      </w:r>
      <w:r>
        <w:rPr>
          <w:spacing w:val="-4"/>
        </w:rPr>
        <w:t xml:space="preserve"> </w:t>
      </w:r>
      <w:r>
        <w:t>S.,</w:t>
      </w:r>
      <w:r>
        <w:rPr>
          <w:spacing w:val="-4"/>
        </w:rPr>
        <w:t xml:space="preserve"> </w:t>
      </w:r>
      <w:r>
        <w:t>Schiff,</w:t>
      </w:r>
      <w:r>
        <w:rPr>
          <w:spacing w:val="-4"/>
        </w:rPr>
        <w:t xml:space="preserve"> </w:t>
      </w:r>
      <w:r>
        <w:t>S.</w:t>
      </w:r>
      <w:r>
        <w:rPr>
          <w:spacing w:val="-4"/>
        </w:rPr>
        <w:t xml:space="preserve"> </w:t>
      </w:r>
      <w:r>
        <w:t>J.,</w:t>
      </w:r>
      <w:r>
        <w:rPr>
          <w:spacing w:val="-4"/>
        </w:rPr>
        <w:t xml:space="preserve"> </w:t>
      </w:r>
      <w:r>
        <w:t>&amp;</w:t>
      </w:r>
      <w:r>
        <w:rPr>
          <w:spacing w:val="-4"/>
        </w:rPr>
        <w:t xml:space="preserve"> </w:t>
      </w:r>
      <w:proofErr w:type="spellStart"/>
      <w:r>
        <w:t>Strahle</w:t>
      </w:r>
      <w:proofErr w:type="spellEnd"/>
      <w:r>
        <w:t>,</w:t>
      </w:r>
      <w:r>
        <w:rPr>
          <w:spacing w:val="-4"/>
        </w:rPr>
        <w:t xml:space="preserve"> </w:t>
      </w:r>
      <w:r>
        <w:t>J.</w:t>
      </w:r>
      <w:r>
        <w:rPr>
          <w:spacing w:val="-4"/>
        </w:rPr>
        <w:t xml:space="preserve"> </w:t>
      </w:r>
      <w:r>
        <w:t>M.</w:t>
      </w:r>
      <w:r>
        <w:rPr>
          <w:spacing w:val="-4"/>
        </w:rPr>
        <w:t xml:space="preserve"> </w:t>
      </w:r>
      <w:r>
        <w:t>(2024).</w:t>
      </w:r>
      <w:r>
        <w:rPr>
          <w:spacing w:val="-4"/>
        </w:rPr>
        <w:t xml:space="preserve"> </w:t>
      </w:r>
      <w:proofErr w:type="spellStart"/>
      <w:r>
        <w:t>Paediatric</w:t>
      </w:r>
      <w:proofErr w:type="spellEnd"/>
      <w:r>
        <w:rPr>
          <w:spacing w:val="-4"/>
        </w:rPr>
        <w:t xml:space="preserve"> </w:t>
      </w:r>
      <w:r>
        <w:t>hydrocephalus.</w:t>
      </w:r>
      <w:r>
        <w:rPr>
          <w:spacing w:val="-4"/>
        </w:rPr>
        <w:t xml:space="preserve"> </w:t>
      </w:r>
      <w:r>
        <w:rPr>
          <w:i/>
        </w:rPr>
        <w:t>Nat Rev Dis Primers</w:t>
      </w:r>
      <w:r>
        <w:t xml:space="preserve">, 10(1), 35. </w:t>
      </w:r>
      <w:proofErr w:type="spellStart"/>
      <w:r>
        <w:t>doi</w:t>
      </w:r>
      <w:proofErr w:type="spellEnd"/>
      <w:r>
        <w:t>: 10.1038/s41572-024-00519-9.</w:t>
      </w:r>
    </w:p>
    <w:p w14:paraId="12641C66" w14:textId="77777777" w:rsidR="00F41228" w:rsidRDefault="00F119CE">
      <w:pPr>
        <w:spacing w:before="240" w:line="360" w:lineRule="auto"/>
        <w:ind w:left="676" w:right="14" w:hanging="675"/>
        <w:jc w:val="both"/>
        <w:rPr>
          <w:sz w:val="24"/>
        </w:rPr>
      </w:pPr>
      <w:proofErr w:type="spellStart"/>
      <w:r>
        <w:rPr>
          <w:sz w:val="24"/>
        </w:rPr>
        <w:t>Khairotin</w:t>
      </w:r>
      <w:proofErr w:type="spellEnd"/>
      <w:r>
        <w:rPr>
          <w:sz w:val="24"/>
        </w:rPr>
        <w:t xml:space="preserve">, N. A. (2025). </w:t>
      </w:r>
      <w:r>
        <w:rPr>
          <w:i/>
          <w:sz w:val="24"/>
        </w:rPr>
        <w:t>Cleft Lip and Palate</w:t>
      </w:r>
      <w:r>
        <w:rPr>
          <w:sz w:val="24"/>
        </w:rPr>
        <w:t xml:space="preserve">. Universitas Islam Negeri </w:t>
      </w:r>
      <w:proofErr w:type="spellStart"/>
      <w:r>
        <w:rPr>
          <w:sz w:val="24"/>
        </w:rPr>
        <w:t>Sunan</w:t>
      </w:r>
      <w:proofErr w:type="spellEnd"/>
      <w:r>
        <w:rPr>
          <w:sz w:val="24"/>
        </w:rPr>
        <w:t xml:space="preserve"> </w:t>
      </w:r>
      <w:proofErr w:type="spellStart"/>
      <w:r>
        <w:rPr>
          <w:sz w:val="24"/>
        </w:rPr>
        <w:t>Ampel</w:t>
      </w:r>
      <w:proofErr w:type="spellEnd"/>
      <w:r>
        <w:rPr>
          <w:sz w:val="24"/>
        </w:rPr>
        <w:t xml:space="preserve"> </w:t>
      </w:r>
      <w:r>
        <w:rPr>
          <w:spacing w:val="-2"/>
          <w:sz w:val="24"/>
        </w:rPr>
        <w:t>Surabaya.</w:t>
      </w:r>
    </w:p>
    <w:p w14:paraId="25A2274C" w14:textId="77777777" w:rsidR="00F41228" w:rsidRDefault="00F119CE">
      <w:pPr>
        <w:pStyle w:val="BodyText"/>
        <w:spacing w:before="240" w:line="360" w:lineRule="auto"/>
        <w:ind w:left="676" w:right="19" w:hanging="675"/>
        <w:jc w:val="both"/>
      </w:pPr>
      <w:proofErr w:type="spellStart"/>
      <w:r>
        <w:t>Khrisna</w:t>
      </w:r>
      <w:proofErr w:type="spellEnd"/>
      <w:r>
        <w:t xml:space="preserve"> </w:t>
      </w:r>
      <w:proofErr w:type="spellStart"/>
      <w:r>
        <w:t>Rangga</w:t>
      </w:r>
      <w:proofErr w:type="spellEnd"/>
      <w:r>
        <w:t xml:space="preserve"> </w:t>
      </w:r>
      <w:proofErr w:type="spellStart"/>
      <w:r>
        <w:t>Permana</w:t>
      </w:r>
      <w:proofErr w:type="spellEnd"/>
      <w:r>
        <w:t xml:space="preserve">. (2018). </w:t>
      </w:r>
      <w:proofErr w:type="spellStart"/>
      <w:r>
        <w:t>Hidrosefalus</w:t>
      </w:r>
      <w:proofErr w:type="spellEnd"/>
      <w:r>
        <w:rPr>
          <w:spacing w:val="-4"/>
        </w:rPr>
        <w:t xml:space="preserve"> </w:t>
      </w:r>
      <w:r>
        <w:t>dan</w:t>
      </w:r>
      <w:r>
        <w:rPr>
          <w:spacing w:val="-4"/>
        </w:rPr>
        <w:t xml:space="preserve"> </w:t>
      </w:r>
      <w:proofErr w:type="spellStart"/>
      <w:r>
        <w:t>tatalaksana</w:t>
      </w:r>
      <w:proofErr w:type="spellEnd"/>
      <w:r>
        <w:rPr>
          <w:spacing w:val="-4"/>
        </w:rPr>
        <w:t xml:space="preserve"> </w:t>
      </w:r>
      <w:proofErr w:type="spellStart"/>
      <w:r>
        <w:t>bedah</w:t>
      </w:r>
      <w:proofErr w:type="spellEnd"/>
      <w:r>
        <w:rPr>
          <w:spacing w:val="-4"/>
        </w:rPr>
        <w:t xml:space="preserve"> </w:t>
      </w:r>
      <w:proofErr w:type="spellStart"/>
      <w:r>
        <w:t>sarafnya</w:t>
      </w:r>
      <w:proofErr w:type="spellEnd"/>
      <w:r>
        <w:t>.</w:t>
      </w:r>
      <w:r>
        <w:rPr>
          <w:spacing w:val="-4"/>
        </w:rPr>
        <w:t xml:space="preserve"> </w:t>
      </w:r>
      <w:proofErr w:type="spellStart"/>
      <w:r>
        <w:rPr>
          <w:i/>
        </w:rPr>
        <w:t>Cermin</w:t>
      </w:r>
      <w:proofErr w:type="spellEnd"/>
      <w:r>
        <w:rPr>
          <w:i/>
        </w:rPr>
        <w:t xml:space="preserve"> Dunia </w:t>
      </w:r>
      <w:proofErr w:type="spellStart"/>
      <w:r>
        <w:rPr>
          <w:i/>
        </w:rPr>
        <w:t>Kedokteran</w:t>
      </w:r>
      <w:proofErr w:type="spellEnd"/>
      <w:r>
        <w:t>, 45(11), 820–823.</w:t>
      </w:r>
    </w:p>
    <w:p w14:paraId="58CA4D36" w14:textId="77777777" w:rsidR="00F41228" w:rsidRDefault="00F119CE">
      <w:pPr>
        <w:pStyle w:val="BodyText"/>
        <w:spacing w:before="240" w:line="360" w:lineRule="auto"/>
        <w:ind w:left="571" w:right="24" w:hanging="570"/>
        <w:jc w:val="both"/>
      </w:pPr>
      <w:proofErr w:type="spellStart"/>
      <w:r>
        <w:t>Koleva</w:t>
      </w:r>
      <w:proofErr w:type="spellEnd"/>
      <w:r>
        <w:t xml:space="preserve">, M., and De </w:t>
      </w:r>
      <w:proofErr w:type="spellStart"/>
      <w:r>
        <w:t>Yesus</w:t>
      </w:r>
      <w:proofErr w:type="spellEnd"/>
      <w:r>
        <w:t>, O. (2025).</w:t>
      </w:r>
      <w:r>
        <w:rPr>
          <w:spacing w:val="-7"/>
        </w:rPr>
        <w:t xml:space="preserve"> </w:t>
      </w:r>
      <w:r>
        <w:rPr>
          <w:i/>
        </w:rPr>
        <w:t>Hydrocephalus</w:t>
      </w:r>
      <w:r>
        <w:t>.</w:t>
      </w:r>
      <w:r>
        <w:rPr>
          <w:spacing w:val="-7"/>
        </w:rPr>
        <w:t xml:space="preserve"> </w:t>
      </w:r>
      <w:r>
        <w:t>In</w:t>
      </w:r>
      <w:r>
        <w:rPr>
          <w:spacing w:val="-7"/>
        </w:rPr>
        <w:t xml:space="preserve"> </w:t>
      </w:r>
      <w:proofErr w:type="spellStart"/>
      <w:r>
        <w:t>StatPearls</w:t>
      </w:r>
      <w:proofErr w:type="spellEnd"/>
      <w:r>
        <w:rPr>
          <w:spacing w:val="-7"/>
        </w:rPr>
        <w:t xml:space="preserve"> </w:t>
      </w:r>
      <w:r>
        <w:t>[Internet].</w:t>
      </w:r>
      <w:r>
        <w:rPr>
          <w:spacing w:val="-7"/>
        </w:rPr>
        <w:t xml:space="preserve"> </w:t>
      </w:r>
      <w:r>
        <w:t xml:space="preserve">Treasure Island (FL): </w:t>
      </w:r>
      <w:proofErr w:type="spellStart"/>
      <w:r>
        <w:t>StatPearls</w:t>
      </w:r>
      <w:proofErr w:type="spellEnd"/>
      <w:r>
        <w:t xml:space="preserve"> Publishing.</w:t>
      </w:r>
    </w:p>
    <w:p w14:paraId="6400F475" w14:textId="77777777" w:rsidR="00F41228" w:rsidRDefault="00F41228">
      <w:pPr>
        <w:pStyle w:val="BodyText"/>
        <w:spacing w:line="360" w:lineRule="auto"/>
        <w:jc w:val="both"/>
        <w:sectPr w:rsidR="00F41228">
          <w:pgSz w:w="11920" w:h="16840"/>
          <w:pgMar w:top="1640" w:right="1700" w:bottom="1200" w:left="1700" w:header="0" w:footer="1000" w:gutter="0"/>
          <w:cols w:space="720"/>
        </w:sectPr>
      </w:pPr>
    </w:p>
    <w:p w14:paraId="13AF1AF4" w14:textId="214F3D90" w:rsidR="00F41228" w:rsidRDefault="00F41228">
      <w:pPr>
        <w:spacing w:before="68"/>
        <w:ind w:right="13"/>
        <w:jc w:val="right"/>
        <w:rPr>
          <w:i/>
        </w:rPr>
      </w:pPr>
    </w:p>
    <w:p w14:paraId="3FA9AC14" w14:textId="77777777" w:rsidR="00F41228" w:rsidRDefault="00F41228">
      <w:pPr>
        <w:pStyle w:val="BodyText"/>
        <w:rPr>
          <w:i/>
          <w:sz w:val="22"/>
        </w:rPr>
      </w:pPr>
    </w:p>
    <w:p w14:paraId="6B3B3FE6" w14:textId="77777777" w:rsidR="00F41228" w:rsidRDefault="00F41228">
      <w:pPr>
        <w:pStyle w:val="BodyText"/>
        <w:spacing w:before="234"/>
        <w:rPr>
          <w:i/>
          <w:sz w:val="22"/>
        </w:rPr>
      </w:pPr>
    </w:p>
    <w:p w14:paraId="5B0F4314" w14:textId="77777777" w:rsidR="00F41228" w:rsidRDefault="00F119CE">
      <w:pPr>
        <w:pStyle w:val="BodyText"/>
        <w:spacing w:line="360" w:lineRule="auto"/>
        <w:ind w:left="676" w:right="16" w:hanging="675"/>
        <w:jc w:val="both"/>
      </w:pPr>
      <w:r>
        <w:t>Ma, L., Hou, Y., Liu, G., &amp; Zhang, T. (2021). Effectiveness</w:t>
      </w:r>
      <w:r>
        <w:rPr>
          <w:spacing w:val="-6"/>
        </w:rPr>
        <w:t xml:space="preserve"> </w:t>
      </w:r>
      <w:r>
        <w:t>of</w:t>
      </w:r>
      <w:r>
        <w:rPr>
          <w:spacing w:val="-6"/>
        </w:rPr>
        <w:t xml:space="preserve"> </w:t>
      </w:r>
      <w:r>
        <w:t>presurgical</w:t>
      </w:r>
      <w:r>
        <w:rPr>
          <w:spacing w:val="-6"/>
        </w:rPr>
        <w:t xml:space="preserve"> </w:t>
      </w:r>
      <w:r>
        <w:t>orthodontics in cleft lip</w:t>
      </w:r>
      <w:r>
        <w:rPr>
          <w:spacing w:val="-4"/>
        </w:rPr>
        <w:t xml:space="preserve"> </w:t>
      </w:r>
      <w:r>
        <w:t>and</w:t>
      </w:r>
      <w:r>
        <w:rPr>
          <w:spacing w:val="-4"/>
        </w:rPr>
        <w:t xml:space="preserve"> </w:t>
      </w:r>
      <w:r>
        <w:t>palate</w:t>
      </w:r>
      <w:r>
        <w:rPr>
          <w:spacing w:val="-4"/>
        </w:rPr>
        <w:t xml:space="preserve"> </w:t>
      </w:r>
      <w:r>
        <w:t>patients</w:t>
      </w:r>
      <w:r>
        <w:rPr>
          <w:spacing w:val="-4"/>
        </w:rPr>
        <w:t xml:space="preserve"> </w:t>
      </w:r>
      <w:r>
        <w:t>with</w:t>
      </w:r>
      <w:r>
        <w:rPr>
          <w:spacing w:val="-4"/>
        </w:rPr>
        <w:t xml:space="preserve"> </w:t>
      </w:r>
      <w:r>
        <w:t>alveolar</w:t>
      </w:r>
      <w:r>
        <w:rPr>
          <w:spacing w:val="-4"/>
        </w:rPr>
        <w:t xml:space="preserve"> </w:t>
      </w:r>
      <w:r>
        <w:t>bone</w:t>
      </w:r>
      <w:r>
        <w:rPr>
          <w:spacing w:val="-4"/>
        </w:rPr>
        <w:t xml:space="preserve"> </w:t>
      </w:r>
      <w:r>
        <w:t>grafting:</w:t>
      </w:r>
      <w:r>
        <w:rPr>
          <w:spacing w:val="-4"/>
        </w:rPr>
        <w:t xml:space="preserve"> </w:t>
      </w:r>
      <w:r>
        <w:t>A</w:t>
      </w:r>
      <w:r>
        <w:rPr>
          <w:spacing w:val="-4"/>
        </w:rPr>
        <w:t xml:space="preserve"> </w:t>
      </w:r>
      <w:r>
        <w:t>systematic</w:t>
      </w:r>
      <w:r>
        <w:rPr>
          <w:spacing w:val="-4"/>
        </w:rPr>
        <w:t xml:space="preserve"> </w:t>
      </w:r>
      <w:r>
        <w:t>review.</w:t>
      </w:r>
      <w:r>
        <w:rPr>
          <w:spacing w:val="-4"/>
        </w:rPr>
        <w:t xml:space="preserve"> </w:t>
      </w:r>
      <w:r>
        <w:rPr>
          <w:i/>
        </w:rPr>
        <w:t xml:space="preserve">J </w:t>
      </w:r>
      <w:proofErr w:type="spellStart"/>
      <w:r>
        <w:rPr>
          <w:i/>
        </w:rPr>
        <w:t>Stomatol</w:t>
      </w:r>
      <w:proofErr w:type="spellEnd"/>
      <w:r>
        <w:rPr>
          <w:i/>
        </w:rPr>
        <w:t xml:space="preserve"> Oral </w:t>
      </w:r>
      <w:proofErr w:type="spellStart"/>
      <w:r>
        <w:rPr>
          <w:i/>
        </w:rPr>
        <w:t>Maxillofac</w:t>
      </w:r>
      <w:proofErr w:type="spellEnd"/>
      <w:r>
        <w:rPr>
          <w:i/>
        </w:rPr>
        <w:t xml:space="preserve"> Surg</w:t>
      </w:r>
      <w:r>
        <w:t xml:space="preserve">, 122(1), 13–17. </w:t>
      </w:r>
      <w:proofErr w:type="spellStart"/>
      <w:r>
        <w:t>doi</w:t>
      </w:r>
      <w:proofErr w:type="spellEnd"/>
      <w:r>
        <w:t xml:space="preserve">: </w:t>
      </w:r>
      <w:r>
        <w:rPr>
          <w:spacing w:val="-2"/>
        </w:rPr>
        <w:t>10.1016/j.jormas.2020.07.010.</w:t>
      </w:r>
    </w:p>
    <w:p w14:paraId="738D3F16" w14:textId="77777777" w:rsidR="00F41228" w:rsidRDefault="00F119CE">
      <w:pPr>
        <w:spacing w:before="240" w:line="360" w:lineRule="auto"/>
        <w:ind w:left="676" w:right="15" w:hanging="675"/>
        <w:jc w:val="both"/>
        <w:rPr>
          <w:sz w:val="24"/>
        </w:rPr>
      </w:pPr>
      <w:proofErr w:type="spellStart"/>
      <w:r>
        <w:rPr>
          <w:sz w:val="24"/>
        </w:rPr>
        <w:t>Manik</w:t>
      </w:r>
      <w:proofErr w:type="spellEnd"/>
      <w:r>
        <w:rPr>
          <w:sz w:val="24"/>
        </w:rPr>
        <w:t xml:space="preserve">, H. M., Putra, E., &amp; </w:t>
      </w:r>
      <w:proofErr w:type="spellStart"/>
      <w:r>
        <w:rPr>
          <w:sz w:val="24"/>
        </w:rPr>
        <w:t>Atifah</w:t>
      </w:r>
      <w:proofErr w:type="spellEnd"/>
      <w:r>
        <w:rPr>
          <w:sz w:val="24"/>
        </w:rPr>
        <w:t xml:space="preserve">. (2024). </w:t>
      </w:r>
      <w:proofErr w:type="spellStart"/>
      <w:r>
        <w:rPr>
          <w:sz w:val="24"/>
        </w:rPr>
        <w:t>Analisis</w:t>
      </w:r>
      <w:proofErr w:type="spellEnd"/>
      <w:r>
        <w:rPr>
          <w:sz w:val="24"/>
        </w:rPr>
        <w:t xml:space="preserve"> </w:t>
      </w:r>
      <w:proofErr w:type="spellStart"/>
      <w:r>
        <w:rPr>
          <w:sz w:val="24"/>
        </w:rPr>
        <w:t>faktor-faktor</w:t>
      </w:r>
      <w:proofErr w:type="spellEnd"/>
      <w:r>
        <w:rPr>
          <w:sz w:val="24"/>
        </w:rPr>
        <w:t xml:space="preserve"> </w:t>
      </w:r>
      <w:proofErr w:type="spellStart"/>
      <w:r>
        <w:rPr>
          <w:sz w:val="24"/>
        </w:rPr>
        <w:t>penyebab</w:t>
      </w:r>
      <w:proofErr w:type="spellEnd"/>
      <w:r>
        <w:rPr>
          <w:sz w:val="24"/>
        </w:rPr>
        <w:t xml:space="preserve"> </w:t>
      </w:r>
      <w:proofErr w:type="spellStart"/>
      <w:r>
        <w:rPr>
          <w:sz w:val="24"/>
        </w:rPr>
        <w:t>penderita</w:t>
      </w:r>
      <w:proofErr w:type="spellEnd"/>
      <w:r>
        <w:rPr>
          <w:sz w:val="24"/>
        </w:rPr>
        <w:t xml:space="preserve"> </w:t>
      </w:r>
      <w:proofErr w:type="spellStart"/>
      <w:r>
        <w:rPr>
          <w:sz w:val="24"/>
        </w:rPr>
        <w:t>hidrosefalus</w:t>
      </w:r>
      <w:proofErr w:type="spellEnd"/>
      <w:r>
        <w:rPr>
          <w:sz w:val="24"/>
        </w:rPr>
        <w:t xml:space="preserve">. </w:t>
      </w:r>
      <w:proofErr w:type="spellStart"/>
      <w:r>
        <w:rPr>
          <w:i/>
          <w:sz w:val="24"/>
        </w:rPr>
        <w:t>Jurnal</w:t>
      </w:r>
      <w:proofErr w:type="spellEnd"/>
      <w:r>
        <w:rPr>
          <w:i/>
          <w:sz w:val="24"/>
        </w:rPr>
        <w:t xml:space="preserve"> Kesehatan </w:t>
      </w:r>
      <w:proofErr w:type="spellStart"/>
      <w:r>
        <w:rPr>
          <w:i/>
          <w:sz w:val="24"/>
        </w:rPr>
        <w:t>Lentera</w:t>
      </w:r>
      <w:proofErr w:type="spellEnd"/>
      <w:r>
        <w:rPr>
          <w:i/>
          <w:sz w:val="24"/>
        </w:rPr>
        <w:t xml:space="preserve"> </w:t>
      </w:r>
      <w:proofErr w:type="spellStart"/>
      <w:r>
        <w:rPr>
          <w:i/>
          <w:sz w:val="24"/>
        </w:rPr>
        <w:t>Akademika</w:t>
      </w:r>
      <w:proofErr w:type="spellEnd"/>
      <w:r>
        <w:rPr>
          <w:sz w:val="24"/>
        </w:rPr>
        <w:t>, 6(2), 4</w:t>
      </w:r>
      <w:r>
        <w:rPr>
          <w:sz w:val="24"/>
        </w:rPr>
        <w:t>06–416.</w:t>
      </w:r>
    </w:p>
    <w:p w14:paraId="0CBA339E" w14:textId="77777777" w:rsidR="00F41228" w:rsidRDefault="00F119CE">
      <w:pPr>
        <w:pStyle w:val="BodyText"/>
        <w:tabs>
          <w:tab w:val="left" w:pos="2329"/>
        </w:tabs>
        <w:spacing w:before="240" w:line="360" w:lineRule="auto"/>
        <w:ind w:left="676" w:right="18" w:hanging="675"/>
        <w:jc w:val="both"/>
      </w:pPr>
      <w:proofErr w:type="spellStart"/>
      <w:r>
        <w:t>Nugraha</w:t>
      </w:r>
      <w:proofErr w:type="spellEnd"/>
      <w:r>
        <w:t xml:space="preserve">, D., Usman, M., </w:t>
      </w:r>
      <w:proofErr w:type="spellStart"/>
      <w:r>
        <w:t>Setiabudi</w:t>
      </w:r>
      <w:proofErr w:type="spellEnd"/>
      <w:r>
        <w:t xml:space="preserve">, H., </w:t>
      </w:r>
      <w:proofErr w:type="spellStart"/>
      <w:r>
        <w:t>Fawzy</w:t>
      </w:r>
      <w:proofErr w:type="spellEnd"/>
      <w:r>
        <w:t xml:space="preserve">, A., Al-Fahd, A., &amp; </w:t>
      </w:r>
      <w:proofErr w:type="spellStart"/>
      <w:r>
        <w:t>Rahardjo</w:t>
      </w:r>
      <w:proofErr w:type="spellEnd"/>
      <w:r>
        <w:t>, M.</w:t>
      </w:r>
      <w:r>
        <w:rPr>
          <w:spacing w:val="40"/>
        </w:rPr>
        <w:t xml:space="preserve"> </w:t>
      </w:r>
      <w:r>
        <w:t>(2023). β-Tricalcium Phosphate</w:t>
      </w:r>
      <w:r>
        <w:rPr>
          <w:spacing w:val="-4"/>
        </w:rPr>
        <w:t xml:space="preserve"> </w:t>
      </w:r>
      <w:r>
        <w:t>as</w:t>
      </w:r>
      <w:r>
        <w:rPr>
          <w:spacing w:val="-4"/>
        </w:rPr>
        <w:t xml:space="preserve"> </w:t>
      </w:r>
      <w:r>
        <w:t>Alveolar</w:t>
      </w:r>
      <w:r>
        <w:rPr>
          <w:spacing w:val="-4"/>
        </w:rPr>
        <w:t xml:space="preserve"> </w:t>
      </w:r>
      <w:r>
        <w:t>Bone</w:t>
      </w:r>
      <w:r>
        <w:rPr>
          <w:spacing w:val="-4"/>
        </w:rPr>
        <w:t xml:space="preserve"> </w:t>
      </w:r>
      <w:r>
        <w:t>Grafting</w:t>
      </w:r>
      <w:r>
        <w:rPr>
          <w:spacing w:val="-4"/>
        </w:rPr>
        <w:t xml:space="preserve"> </w:t>
      </w:r>
      <w:r>
        <w:t>in</w:t>
      </w:r>
      <w:r>
        <w:rPr>
          <w:spacing w:val="-4"/>
        </w:rPr>
        <w:t xml:space="preserve"> </w:t>
      </w:r>
      <w:r>
        <w:t>Cleft</w:t>
      </w:r>
      <w:r>
        <w:rPr>
          <w:spacing w:val="-4"/>
        </w:rPr>
        <w:t xml:space="preserve"> </w:t>
      </w:r>
      <w:r>
        <w:t>Lip/Palate:</w:t>
      </w:r>
      <w:r>
        <w:rPr>
          <w:spacing w:val="-4"/>
        </w:rPr>
        <w:t xml:space="preserve"> </w:t>
      </w:r>
      <w:r>
        <w:t xml:space="preserve">A </w:t>
      </w:r>
      <w:r>
        <w:rPr>
          <w:spacing w:val="-2"/>
        </w:rPr>
        <w:t>Systematic</w:t>
      </w:r>
      <w:r>
        <w:tab/>
        <w:t xml:space="preserve">Review. </w:t>
      </w:r>
      <w:r>
        <w:rPr>
          <w:i/>
        </w:rPr>
        <w:t>Dentistry Journal</w:t>
      </w:r>
      <w:r>
        <w:t xml:space="preserve">, 11(234), 1–18. </w:t>
      </w:r>
      <w:hyperlink r:id="rId15">
        <w:r>
          <w:rPr>
            <w:color w:val="1154CC"/>
            <w:spacing w:val="-2"/>
            <w:u w:val="thick" w:color="1154CC"/>
          </w:rPr>
          <w:t>https://doi.org/10.3390/dj11090234</w:t>
        </w:r>
      </w:hyperlink>
    </w:p>
    <w:p w14:paraId="5E5AFB5B" w14:textId="77777777" w:rsidR="00F41228" w:rsidRDefault="00F119CE">
      <w:pPr>
        <w:pStyle w:val="BodyText"/>
        <w:spacing w:before="240" w:line="360" w:lineRule="auto"/>
        <w:ind w:left="676" w:right="18" w:hanging="675"/>
        <w:jc w:val="both"/>
      </w:pPr>
      <w:r>
        <w:t xml:space="preserve">Pfaff, M. J., Nolan, I. T., </w:t>
      </w:r>
      <w:proofErr w:type="spellStart"/>
      <w:r>
        <w:t>Musavi</w:t>
      </w:r>
      <w:proofErr w:type="spellEnd"/>
      <w:r>
        <w:t xml:space="preserve">, L., Bertrand, A. A., Alford, J., Krishna, V., </w:t>
      </w:r>
      <w:proofErr w:type="spellStart"/>
      <w:r>
        <w:t>Arowojolu</w:t>
      </w:r>
      <w:proofErr w:type="spellEnd"/>
      <w:r>
        <w:t>, O. A., Zhu, X., &amp; Lee,</w:t>
      </w:r>
      <w:r>
        <w:rPr>
          <w:spacing w:val="-3"/>
        </w:rPr>
        <w:t xml:space="preserve"> </w:t>
      </w:r>
      <w:r>
        <w:t>J.</w:t>
      </w:r>
      <w:r>
        <w:rPr>
          <w:spacing w:val="-3"/>
        </w:rPr>
        <w:t xml:space="preserve"> </w:t>
      </w:r>
      <w:r>
        <w:t>C.</w:t>
      </w:r>
      <w:r>
        <w:rPr>
          <w:spacing w:val="-3"/>
        </w:rPr>
        <w:t xml:space="preserve"> </w:t>
      </w:r>
      <w:r>
        <w:t>(2022).</w:t>
      </w:r>
      <w:r>
        <w:rPr>
          <w:spacing w:val="-3"/>
        </w:rPr>
        <w:t xml:space="preserve"> </w:t>
      </w:r>
      <w:r>
        <w:t>Perioperative</w:t>
      </w:r>
      <w:r>
        <w:rPr>
          <w:spacing w:val="-3"/>
        </w:rPr>
        <w:t xml:space="preserve"> </w:t>
      </w:r>
      <w:r>
        <w:t>Pain</w:t>
      </w:r>
      <w:r>
        <w:rPr>
          <w:spacing w:val="-3"/>
        </w:rPr>
        <w:t xml:space="preserve"> </w:t>
      </w:r>
      <w:r>
        <w:t>Management in Cleft Lip and Palate Surgery: A Systemati</w:t>
      </w:r>
      <w:r>
        <w:t xml:space="preserve">c Review and Meta-Analysis of Randomized Controlled Studies. </w:t>
      </w:r>
      <w:proofErr w:type="spellStart"/>
      <w:r>
        <w:rPr>
          <w:i/>
        </w:rPr>
        <w:t>Plast</w:t>
      </w:r>
      <w:proofErr w:type="spellEnd"/>
      <w:r>
        <w:rPr>
          <w:i/>
        </w:rPr>
        <w:t xml:space="preserve"> </w:t>
      </w:r>
      <w:proofErr w:type="spellStart"/>
      <w:r>
        <w:rPr>
          <w:i/>
        </w:rPr>
        <w:t>Reconstr</w:t>
      </w:r>
      <w:proofErr w:type="spellEnd"/>
      <w:r>
        <w:rPr>
          <w:i/>
        </w:rPr>
        <w:t xml:space="preserve"> Surg</w:t>
      </w:r>
      <w:r>
        <w:t xml:space="preserve">, 150(1), 145e–156e. </w:t>
      </w:r>
      <w:proofErr w:type="spellStart"/>
      <w:r>
        <w:t>doi</w:t>
      </w:r>
      <w:proofErr w:type="spellEnd"/>
      <w:r>
        <w:t xml:space="preserve">: </w:t>
      </w:r>
      <w:r>
        <w:rPr>
          <w:spacing w:val="-2"/>
        </w:rPr>
        <w:t>10.1097/PRS.0000000000009231.</w:t>
      </w:r>
    </w:p>
    <w:p w14:paraId="6369AC6C" w14:textId="77777777" w:rsidR="00F41228" w:rsidRDefault="00F119CE">
      <w:pPr>
        <w:pStyle w:val="BodyText"/>
        <w:spacing w:before="240"/>
        <w:ind w:right="18"/>
        <w:jc w:val="right"/>
      </w:pPr>
      <w:proofErr w:type="spellStart"/>
      <w:r>
        <w:t>Permana</w:t>
      </w:r>
      <w:proofErr w:type="spellEnd"/>
      <w:r>
        <w:t>,</w:t>
      </w:r>
      <w:r>
        <w:rPr>
          <w:spacing w:val="-2"/>
        </w:rPr>
        <w:t xml:space="preserve"> </w:t>
      </w:r>
      <w:r>
        <w:t>K.R.</w:t>
      </w:r>
      <w:r>
        <w:rPr>
          <w:spacing w:val="-2"/>
        </w:rPr>
        <w:t xml:space="preserve"> </w:t>
      </w:r>
      <w:r>
        <w:t>(2018)</w:t>
      </w:r>
      <w:r>
        <w:rPr>
          <w:spacing w:val="-2"/>
        </w:rPr>
        <w:t xml:space="preserve"> </w:t>
      </w:r>
      <w:r>
        <w:t>‘</w:t>
      </w:r>
      <w:proofErr w:type="spellStart"/>
      <w:r>
        <w:t>Hidrosefalus</w:t>
      </w:r>
      <w:proofErr w:type="spellEnd"/>
      <w:r>
        <w:rPr>
          <w:spacing w:val="-2"/>
        </w:rPr>
        <w:t xml:space="preserve"> </w:t>
      </w:r>
      <w:r>
        <w:t>dan</w:t>
      </w:r>
      <w:r>
        <w:rPr>
          <w:spacing w:val="-2"/>
        </w:rPr>
        <w:t xml:space="preserve"> </w:t>
      </w:r>
      <w:proofErr w:type="spellStart"/>
      <w:r>
        <w:t>Tatalaksana</w:t>
      </w:r>
      <w:proofErr w:type="spellEnd"/>
      <w:r>
        <w:rPr>
          <w:spacing w:val="-2"/>
        </w:rPr>
        <w:t xml:space="preserve"> </w:t>
      </w:r>
      <w:proofErr w:type="spellStart"/>
      <w:r>
        <w:t>Bedah</w:t>
      </w:r>
      <w:proofErr w:type="spellEnd"/>
      <w:r>
        <w:rPr>
          <w:spacing w:val="-2"/>
        </w:rPr>
        <w:t xml:space="preserve"> </w:t>
      </w:r>
      <w:proofErr w:type="spellStart"/>
      <w:r>
        <w:t>Sarafnya</w:t>
      </w:r>
      <w:proofErr w:type="spellEnd"/>
      <w:r>
        <w:t>’,</w:t>
      </w:r>
      <w:r>
        <w:rPr>
          <w:spacing w:val="-2"/>
        </w:rPr>
        <w:t xml:space="preserve"> </w:t>
      </w:r>
      <w:r>
        <w:rPr>
          <w:i/>
        </w:rPr>
        <w:t>Cdk-270</w:t>
      </w:r>
      <w:r>
        <w:t>,</w:t>
      </w:r>
      <w:r>
        <w:rPr>
          <w:spacing w:val="-1"/>
        </w:rPr>
        <w:t xml:space="preserve"> </w:t>
      </w:r>
      <w:r>
        <w:rPr>
          <w:spacing w:val="-4"/>
        </w:rPr>
        <w:t>45(11),</w:t>
      </w:r>
    </w:p>
    <w:p w14:paraId="68088752" w14:textId="77777777" w:rsidR="00F41228" w:rsidRDefault="00F119CE">
      <w:pPr>
        <w:pStyle w:val="BodyText"/>
        <w:spacing w:before="138"/>
        <w:ind w:left="571"/>
      </w:pPr>
      <w:r>
        <w:t xml:space="preserve">pp. </w:t>
      </w:r>
      <w:r>
        <w:rPr>
          <w:spacing w:val="-2"/>
        </w:rPr>
        <w:t>820–823.</w:t>
      </w:r>
    </w:p>
    <w:p w14:paraId="2A3C37B2" w14:textId="77777777" w:rsidR="00F41228" w:rsidRDefault="00F119CE">
      <w:pPr>
        <w:spacing w:before="258" w:line="360" w:lineRule="auto"/>
        <w:ind w:left="571" w:right="23" w:hanging="570"/>
        <w:jc w:val="both"/>
        <w:rPr>
          <w:sz w:val="24"/>
        </w:rPr>
      </w:pPr>
      <w:r>
        <w:rPr>
          <w:sz w:val="24"/>
        </w:rPr>
        <w:t xml:space="preserve">Yousaf, M., </w:t>
      </w:r>
      <w:proofErr w:type="spellStart"/>
      <w:r>
        <w:rPr>
          <w:sz w:val="24"/>
        </w:rPr>
        <w:t>Parlato</w:t>
      </w:r>
      <w:proofErr w:type="spellEnd"/>
      <w:r>
        <w:rPr>
          <w:sz w:val="24"/>
        </w:rPr>
        <w:t xml:space="preserve">, S. R., &amp; </w:t>
      </w:r>
      <w:proofErr w:type="spellStart"/>
      <w:r>
        <w:rPr>
          <w:sz w:val="24"/>
        </w:rPr>
        <w:t>Mallucci</w:t>
      </w:r>
      <w:proofErr w:type="spellEnd"/>
      <w:r>
        <w:rPr>
          <w:sz w:val="24"/>
        </w:rPr>
        <w:t xml:space="preserve">, C. L. (2018). </w:t>
      </w:r>
      <w:r>
        <w:rPr>
          <w:i/>
          <w:sz w:val="24"/>
        </w:rPr>
        <w:t>Hydrocephalus</w:t>
      </w:r>
      <w:r>
        <w:rPr>
          <w:sz w:val="24"/>
        </w:rPr>
        <w:t xml:space="preserve">. In P. D. </w:t>
      </w:r>
      <w:proofErr w:type="spellStart"/>
      <w:r>
        <w:rPr>
          <w:sz w:val="24"/>
        </w:rPr>
        <w:t>Losty</w:t>
      </w:r>
      <w:proofErr w:type="spellEnd"/>
      <w:r>
        <w:rPr>
          <w:sz w:val="24"/>
        </w:rPr>
        <w:t>,</w:t>
      </w:r>
      <w:r>
        <w:rPr>
          <w:spacing w:val="-7"/>
          <w:sz w:val="24"/>
        </w:rPr>
        <w:t xml:space="preserve"> </w:t>
      </w:r>
      <w:r>
        <w:rPr>
          <w:sz w:val="24"/>
        </w:rPr>
        <w:t xml:space="preserve">et al. (Eds.), </w:t>
      </w:r>
      <w:proofErr w:type="spellStart"/>
      <w:r>
        <w:rPr>
          <w:i/>
          <w:sz w:val="24"/>
        </w:rPr>
        <w:t>Rickham’s</w:t>
      </w:r>
      <w:proofErr w:type="spellEnd"/>
      <w:r>
        <w:rPr>
          <w:i/>
          <w:sz w:val="24"/>
        </w:rPr>
        <w:t xml:space="preserve"> neonatal surgery </w:t>
      </w:r>
      <w:r>
        <w:rPr>
          <w:sz w:val="24"/>
        </w:rPr>
        <w:t>(pp. 931–938).</w:t>
      </w:r>
    </w:p>
    <w:p w14:paraId="63317883" w14:textId="77777777" w:rsidR="00F41228" w:rsidRDefault="00F119CE">
      <w:pPr>
        <w:pStyle w:val="BodyText"/>
        <w:spacing w:before="240" w:line="360" w:lineRule="auto"/>
        <w:ind w:left="676" w:right="25" w:hanging="675"/>
        <w:jc w:val="both"/>
      </w:pPr>
      <w:proofErr w:type="spellStart"/>
      <w:r>
        <w:t>Raybaud</w:t>
      </w:r>
      <w:proofErr w:type="spellEnd"/>
      <w:r>
        <w:t>, C., &amp; Krishnan, P. (2021). Hydrocephalus in Children: A Neuroradiological Perspective.</w:t>
      </w:r>
      <w:r>
        <w:rPr>
          <w:spacing w:val="80"/>
        </w:rPr>
        <w:t xml:space="preserve">  </w:t>
      </w:r>
      <w:r>
        <w:rPr>
          <w:i/>
        </w:rPr>
        <w:t>Neurol</w:t>
      </w:r>
      <w:r>
        <w:rPr>
          <w:i/>
          <w:spacing w:val="80"/>
        </w:rPr>
        <w:t xml:space="preserve">  </w:t>
      </w:r>
      <w:r>
        <w:rPr>
          <w:i/>
        </w:rPr>
        <w:t>India</w:t>
      </w:r>
      <w:r>
        <w:t>,</w:t>
      </w:r>
      <w:r>
        <w:rPr>
          <w:spacing w:val="80"/>
        </w:rPr>
        <w:t xml:space="preserve">  </w:t>
      </w:r>
      <w:r>
        <w:t>6</w:t>
      </w:r>
      <w:r>
        <w:t>9(Suppl),</w:t>
      </w:r>
      <w:r>
        <w:rPr>
          <w:spacing w:val="80"/>
        </w:rPr>
        <w:t xml:space="preserve">  </w:t>
      </w:r>
      <w:r>
        <w:t>S283–S291.</w:t>
      </w:r>
      <w:r>
        <w:rPr>
          <w:spacing w:val="80"/>
        </w:rPr>
        <w:t xml:space="preserve">  </w:t>
      </w:r>
      <w:proofErr w:type="spellStart"/>
      <w:r>
        <w:t>doi</w:t>
      </w:r>
      <w:proofErr w:type="spellEnd"/>
      <w:r>
        <w:t>:</w:t>
      </w:r>
      <w:r>
        <w:rPr>
          <w:spacing w:val="80"/>
        </w:rPr>
        <w:t xml:space="preserve"> </w:t>
      </w:r>
      <w:r>
        <w:rPr>
          <w:spacing w:val="-2"/>
        </w:rPr>
        <w:t>10.4103/0028-3886.332282.</w:t>
      </w:r>
    </w:p>
    <w:p w14:paraId="7BE9130D" w14:textId="77777777" w:rsidR="00F41228" w:rsidRDefault="00F119CE">
      <w:pPr>
        <w:pStyle w:val="BodyText"/>
        <w:spacing w:before="240" w:line="360" w:lineRule="auto"/>
        <w:ind w:left="676" w:right="25" w:hanging="675"/>
        <w:jc w:val="both"/>
      </w:pPr>
      <w:r>
        <w:t>Slots, J., &amp; Slots, V. (2024). Severe</w:t>
      </w:r>
      <w:r>
        <w:rPr>
          <w:spacing w:val="-6"/>
        </w:rPr>
        <w:t xml:space="preserve"> </w:t>
      </w:r>
      <w:r>
        <w:t>periodontitis</w:t>
      </w:r>
      <w:r>
        <w:rPr>
          <w:spacing w:val="-6"/>
        </w:rPr>
        <w:t xml:space="preserve"> </w:t>
      </w:r>
      <w:r>
        <w:t>and</w:t>
      </w:r>
      <w:r>
        <w:rPr>
          <w:spacing w:val="-6"/>
        </w:rPr>
        <w:t xml:space="preserve"> </w:t>
      </w:r>
      <w:r>
        <w:t>congenital</w:t>
      </w:r>
      <w:r>
        <w:rPr>
          <w:spacing w:val="-6"/>
        </w:rPr>
        <w:t xml:space="preserve"> </w:t>
      </w:r>
      <w:r>
        <w:t>cytomegalovirus:</w:t>
      </w:r>
      <w:r>
        <w:rPr>
          <w:spacing w:val="-6"/>
        </w:rPr>
        <w:t xml:space="preserve"> </w:t>
      </w:r>
      <w:r>
        <w:t xml:space="preserve">Cleft lip and cleft palate. </w:t>
      </w:r>
      <w:proofErr w:type="spellStart"/>
      <w:r>
        <w:rPr>
          <w:i/>
        </w:rPr>
        <w:t>Periodontol</w:t>
      </w:r>
      <w:proofErr w:type="spellEnd"/>
      <w:r>
        <w:rPr>
          <w:i/>
        </w:rPr>
        <w:t xml:space="preserve"> 2000</w:t>
      </w:r>
      <w:r>
        <w:t xml:space="preserve">, 96(1), 185–188. </w:t>
      </w:r>
      <w:proofErr w:type="spellStart"/>
      <w:r>
        <w:t>doi</w:t>
      </w:r>
      <w:proofErr w:type="spellEnd"/>
      <w:r>
        <w:t>: 10.1111/prd.12606.</w:t>
      </w:r>
    </w:p>
    <w:p w14:paraId="378CD548" w14:textId="77777777" w:rsidR="00F41228" w:rsidRDefault="00F119CE">
      <w:pPr>
        <w:pStyle w:val="BodyText"/>
        <w:spacing w:before="240" w:line="360" w:lineRule="auto"/>
        <w:ind w:left="676" w:right="21" w:hanging="675"/>
        <w:jc w:val="both"/>
      </w:pPr>
      <w:r>
        <w:t xml:space="preserve">Wilkes, C., </w:t>
      </w:r>
      <w:proofErr w:type="spellStart"/>
      <w:r>
        <w:t>Graetz</w:t>
      </w:r>
      <w:proofErr w:type="spellEnd"/>
      <w:r>
        <w:t xml:space="preserve">, M., </w:t>
      </w:r>
      <w:proofErr w:type="spellStart"/>
      <w:r>
        <w:t>Downie</w:t>
      </w:r>
      <w:proofErr w:type="spellEnd"/>
      <w:r>
        <w:t xml:space="preserve">, </w:t>
      </w:r>
      <w:r>
        <w:t>L., Bethune, M., &amp; Chong, D. (2023). Prenatal diagnosis of cleft lip and/or palate: What do we tell prospective parents?</w:t>
      </w:r>
      <w:r>
        <w:rPr>
          <w:spacing w:val="-4"/>
        </w:rPr>
        <w:t xml:space="preserve"> </w:t>
      </w:r>
      <w:proofErr w:type="spellStart"/>
      <w:r>
        <w:rPr>
          <w:i/>
        </w:rPr>
        <w:t>Prenat</w:t>
      </w:r>
      <w:proofErr w:type="spellEnd"/>
      <w:r>
        <w:rPr>
          <w:i/>
        </w:rPr>
        <w:t xml:space="preserve"> Diagn</w:t>
      </w:r>
      <w:r>
        <w:t xml:space="preserve">, 43(10), 1310–1319. </w:t>
      </w:r>
      <w:proofErr w:type="spellStart"/>
      <w:r>
        <w:t>doi</w:t>
      </w:r>
      <w:proofErr w:type="spellEnd"/>
      <w:r>
        <w:t>: 10.1002/pd.6418.</w:t>
      </w:r>
    </w:p>
    <w:p w14:paraId="30DEF2DD" w14:textId="77777777" w:rsidR="00F41228" w:rsidRDefault="00F41228">
      <w:pPr>
        <w:pStyle w:val="BodyText"/>
        <w:spacing w:line="360" w:lineRule="auto"/>
        <w:jc w:val="both"/>
        <w:sectPr w:rsidR="00F41228">
          <w:pgSz w:w="11920" w:h="16840"/>
          <w:pgMar w:top="640" w:right="1700" w:bottom="1180" w:left="1700" w:header="0" w:footer="1000" w:gutter="0"/>
          <w:cols w:space="720"/>
        </w:sectPr>
      </w:pPr>
    </w:p>
    <w:p w14:paraId="7417DB9A" w14:textId="77777777" w:rsidR="00F41228" w:rsidRDefault="00F119CE">
      <w:pPr>
        <w:spacing w:before="61" w:line="360" w:lineRule="auto"/>
        <w:ind w:left="571" w:right="23" w:hanging="570"/>
        <w:jc w:val="both"/>
        <w:rPr>
          <w:sz w:val="24"/>
        </w:rPr>
      </w:pPr>
      <w:r>
        <w:rPr>
          <w:sz w:val="24"/>
        </w:rPr>
        <w:lastRenderedPageBreak/>
        <w:t xml:space="preserve">Yousaf, M., </w:t>
      </w:r>
      <w:proofErr w:type="spellStart"/>
      <w:r>
        <w:rPr>
          <w:sz w:val="24"/>
        </w:rPr>
        <w:t>Parlato</w:t>
      </w:r>
      <w:proofErr w:type="spellEnd"/>
      <w:r>
        <w:rPr>
          <w:sz w:val="24"/>
        </w:rPr>
        <w:t xml:space="preserve">, S. R., &amp; </w:t>
      </w:r>
      <w:proofErr w:type="spellStart"/>
      <w:r>
        <w:rPr>
          <w:sz w:val="24"/>
        </w:rPr>
        <w:t>Mallucci</w:t>
      </w:r>
      <w:proofErr w:type="spellEnd"/>
      <w:r>
        <w:rPr>
          <w:sz w:val="24"/>
        </w:rPr>
        <w:t xml:space="preserve">, C. L. (2018). </w:t>
      </w:r>
      <w:r>
        <w:rPr>
          <w:i/>
          <w:sz w:val="24"/>
        </w:rPr>
        <w:t>Hydrocep</w:t>
      </w:r>
      <w:r>
        <w:rPr>
          <w:i/>
          <w:sz w:val="24"/>
        </w:rPr>
        <w:t>halus</w:t>
      </w:r>
      <w:r>
        <w:rPr>
          <w:sz w:val="24"/>
        </w:rPr>
        <w:t xml:space="preserve">. In P. D. </w:t>
      </w:r>
      <w:proofErr w:type="spellStart"/>
      <w:r>
        <w:rPr>
          <w:sz w:val="24"/>
        </w:rPr>
        <w:t>Losty</w:t>
      </w:r>
      <w:proofErr w:type="spellEnd"/>
      <w:r>
        <w:rPr>
          <w:sz w:val="24"/>
        </w:rPr>
        <w:t>,</w:t>
      </w:r>
      <w:r>
        <w:rPr>
          <w:spacing w:val="-7"/>
          <w:sz w:val="24"/>
        </w:rPr>
        <w:t xml:space="preserve"> </w:t>
      </w:r>
      <w:r>
        <w:rPr>
          <w:sz w:val="24"/>
        </w:rPr>
        <w:t xml:space="preserve">et al. (Eds.), </w:t>
      </w:r>
      <w:proofErr w:type="spellStart"/>
      <w:r>
        <w:rPr>
          <w:i/>
          <w:sz w:val="24"/>
        </w:rPr>
        <w:t>Rickham’s</w:t>
      </w:r>
      <w:proofErr w:type="spellEnd"/>
      <w:r>
        <w:rPr>
          <w:i/>
          <w:sz w:val="24"/>
        </w:rPr>
        <w:t xml:space="preserve"> neonatal surgery </w:t>
      </w:r>
      <w:r>
        <w:rPr>
          <w:sz w:val="24"/>
        </w:rPr>
        <w:t>(pp. 931–938).</w:t>
      </w:r>
    </w:p>
    <w:p w14:paraId="5250A28C" w14:textId="77777777" w:rsidR="00F41228" w:rsidRDefault="00F119CE">
      <w:pPr>
        <w:pStyle w:val="BodyText"/>
        <w:spacing w:before="240" w:line="360" w:lineRule="auto"/>
        <w:ind w:left="676" w:right="15" w:hanging="675"/>
        <w:jc w:val="both"/>
      </w:pPr>
      <w:proofErr w:type="spellStart"/>
      <w:r>
        <w:t>Zaksaite</w:t>
      </w:r>
      <w:proofErr w:type="spellEnd"/>
      <w:r>
        <w:t xml:space="preserve">, T., Loveday, C., </w:t>
      </w:r>
      <w:proofErr w:type="spellStart"/>
      <w:r>
        <w:t>Edginton</w:t>
      </w:r>
      <w:proofErr w:type="spellEnd"/>
      <w:r>
        <w:t xml:space="preserve">, T., Spiers, H. J., &amp; Smith, A. D. (2023). Hydrocephalus: A neuropsychological and theoretical primer. </w:t>
      </w:r>
      <w:r>
        <w:rPr>
          <w:i/>
        </w:rPr>
        <w:t>Cortex</w:t>
      </w:r>
      <w:r>
        <w:t xml:space="preserve">, 160, 67–99. </w:t>
      </w:r>
      <w:proofErr w:type="spellStart"/>
      <w:r>
        <w:t>doi</w:t>
      </w:r>
      <w:proofErr w:type="spellEnd"/>
      <w:r>
        <w:t>: 10.1016/j.co</w:t>
      </w:r>
      <w:r>
        <w:t>rtex.2023.01.001.</w:t>
      </w:r>
    </w:p>
    <w:sectPr w:rsidR="00F41228">
      <w:pgSz w:w="11920" w:h="16840"/>
      <w:pgMar w:top="1640" w:right="1700"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6296D" w14:textId="77777777" w:rsidR="00F119CE" w:rsidRDefault="00F119CE">
      <w:r>
        <w:separator/>
      </w:r>
    </w:p>
  </w:endnote>
  <w:endnote w:type="continuationSeparator" w:id="0">
    <w:p w14:paraId="27A004B3" w14:textId="77777777" w:rsidR="00F119CE" w:rsidRDefault="00F1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AE42" w14:textId="77777777" w:rsidR="00F41228" w:rsidRDefault="00F119CE">
    <w:pPr>
      <w:pStyle w:val="BodyText"/>
      <w:spacing w:line="14" w:lineRule="auto"/>
      <w:rPr>
        <w:sz w:val="20"/>
      </w:rPr>
    </w:pPr>
    <w:r>
      <w:rPr>
        <w:noProof/>
        <w:sz w:val="20"/>
      </w:rPr>
      <mc:AlternateContent>
        <mc:Choice Requires="wps">
          <w:drawing>
            <wp:anchor distT="0" distB="0" distL="0" distR="0" simplePos="0" relativeHeight="487465472" behindDoc="1" locked="0" layoutInCell="1" allowOverlap="1" wp14:anchorId="48B7C6A8" wp14:editId="4D4CFC36">
              <wp:simplePos x="0" y="0"/>
              <wp:positionH relativeFrom="page">
                <wp:posOffset>3697499</wp:posOffset>
              </wp:positionH>
              <wp:positionV relativeFrom="page">
                <wp:posOffset>9909055</wp:posOffset>
              </wp:positionV>
              <wp:extent cx="165100" cy="190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0500"/>
                      </a:xfrm>
                      <a:prstGeom prst="rect">
                        <a:avLst/>
                      </a:prstGeom>
                    </wps:spPr>
                    <wps:txbx>
                      <w:txbxContent>
                        <w:p w14:paraId="1D749403" w14:textId="77777777" w:rsidR="00F41228" w:rsidRDefault="00F119CE">
                          <w:pPr>
                            <w:spacing w:before="26"/>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8B7C6A8" id="_x0000_t202" coordsize="21600,21600" o:spt="202" path="m,l,21600r21600,l21600,xe">
              <v:stroke joinstyle="miter"/>
              <v:path gradientshapeok="t" o:connecttype="rect"/>
            </v:shapetype>
            <v:shape id="Textbox 1" o:spid="_x0000_s1026" type="#_x0000_t202" style="position:absolute;margin-left:291.15pt;margin-top:780.25pt;width:13pt;height:15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7/owEAAD4DAAAOAAAAZHJzL2Uyb0RvYy54bWysUsFu1DAQvSPxD5bvbJJKrSDabFWoQEgV&#10;ILV8gOPYm4jYY2a8m+zfM3ay2wpuqBdnnHl+897MbG9nN4qjQRrAN7LalFIYr6Eb/L6RP58+v3sv&#10;BUXlOzWCN408GZK3u7dvtlOozRX0MHYGBZN4qqfQyD7GUBcF6d44RRsIxnPSAjoV+Yr7okM1Mbsb&#10;i6uyvCkmwC4gaEPEf++XpNxlfmuNjt+tJRPF2EjWFvOJ+WzTWey2qt6jCv2gVxnqP1Q4NXgueqG6&#10;V1GJAw7/ULlBIxDYuNHgCrB20CZ7YDdV+Zebx14Fk71wcyhc2kSvR6u/HX+gGDqenRReOR7Rk5lj&#10;C7OoUnOmQDVjHgOj4vwR5gRMRik8gP5FDCleYJYHxOiEmS269GWbgh9y/0+XnnMRoRPbzXVVckZz&#10;qvpQXnOcOJ8fB6T4xYATKWgk8kizAHV8oLhAz5BVy1I+qYpzO68mWuhO7GHiUTeSfh8UGinGr557&#10;mfbiHOA5aM8BxvET5O1JVjzcHSLYIVdOJRbetTIPKWtfFyptwct7Rj2v/e4PAAAA//8DAFBLAwQU&#10;AAYACAAAACEA2PzY7eAAAAANAQAADwAAAGRycy9kb3ducmV2LnhtbEyPwU7DMBBE70j8g7VI3Kjd&#10;okRpGqeqEJyQEGk4cHRiN7Ear0PstuHv2Z7ocd+MZmeK7ewGdjZTsB4lLBcCmMHWa4udhK/67SkD&#10;FqJCrQaPRsKvCbAt7+8KlWt/wcqc97FjFIIhVxL6GMec89D2xqmw8KNB0g5+cirSOXVcT+pC4W7g&#10;KyFS7pRF+tCr0bz0pj3uT07C7hurV/vz0XxWh8rW9Vrge3qU8vFh3m2ARTPHfzNc61N1KKlT40+o&#10;AxskJNnqmawkJKlIgJElFRmh5orWhHhZ8NsV5R8AAAD//wMAUEsBAi0AFAAGAAgAAAAhALaDOJL+&#10;AAAA4QEAABMAAAAAAAAAAAAAAAAAAAAAAFtDb250ZW50X1R5cGVzXS54bWxQSwECLQAUAAYACAAA&#10;ACEAOP0h/9YAAACUAQAACwAAAAAAAAAAAAAAAAAvAQAAX3JlbHMvLnJlbHNQSwECLQAUAAYACAAA&#10;ACEAK79O/6MBAAA+AwAADgAAAAAAAAAAAAAAAAAuAgAAZHJzL2Uyb0RvYy54bWxQSwECLQAUAAYA&#10;CAAAACEA2PzY7eAAAAANAQAADwAAAAAAAAAAAAAAAAD9AwAAZHJzL2Rvd25yZXYueG1sUEsFBgAA&#10;AAAEAAQA8wAAAAoFAAAAAA==&#10;" filled="f" stroked="f">
              <v:textbox inset="0,0,0,0">
                <w:txbxContent>
                  <w:p w14:paraId="1D749403" w14:textId="77777777" w:rsidR="00F41228" w:rsidRDefault="00F119CE">
                    <w:pPr>
                      <w:spacing w:before="26"/>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2992B" w14:textId="77777777" w:rsidR="00F119CE" w:rsidRDefault="00F119CE">
      <w:r>
        <w:separator/>
      </w:r>
    </w:p>
  </w:footnote>
  <w:footnote w:type="continuationSeparator" w:id="0">
    <w:p w14:paraId="10AF8D9B" w14:textId="77777777" w:rsidR="00F119CE" w:rsidRDefault="00F11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E0F43"/>
    <w:multiLevelType w:val="hybridMultilevel"/>
    <w:tmpl w:val="70A4A06C"/>
    <w:lvl w:ilvl="0" w:tplc="BB76253E">
      <w:start w:val="1"/>
      <w:numFmt w:val="decimal"/>
      <w:lvlText w:val="%1)"/>
      <w:lvlJc w:val="left"/>
      <w:pPr>
        <w:ind w:left="195" w:hanging="195"/>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452AD1FA">
      <w:numFmt w:val="bullet"/>
      <w:lvlText w:val="•"/>
      <w:lvlJc w:val="left"/>
      <w:pPr>
        <w:ind w:left="1032" w:hanging="195"/>
      </w:pPr>
      <w:rPr>
        <w:rFonts w:hint="default"/>
        <w:lang w:val="en-US" w:eastAsia="en-US" w:bidi="ar-SA"/>
      </w:rPr>
    </w:lvl>
    <w:lvl w:ilvl="2" w:tplc="DC2E8A90">
      <w:numFmt w:val="bullet"/>
      <w:lvlText w:val="•"/>
      <w:lvlJc w:val="left"/>
      <w:pPr>
        <w:ind w:left="1864" w:hanging="195"/>
      </w:pPr>
      <w:rPr>
        <w:rFonts w:hint="default"/>
        <w:lang w:val="en-US" w:eastAsia="en-US" w:bidi="ar-SA"/>
      </w:rPr>
    </w:lvl>
    <w:lvl w:ilvl="3" w:tplc="37CE51B6">
      <w:numFmt w:val="bullet"/>
      <w:lvlText w:val="•"/>
      <w:lvlJc w:val="left"/>
      <w:pPr>
        <w:ind w:left="2696" w:hanging="195"/>
      </w:pPr>
      <w:rPr>
        <w:rFonts w:hint="default"/>
        <w:lang w:val="en-US" w:eastAsia="en-US" w:bidi="ar-SA"/>
      </w:rPr>
    </w:lvl>
    <w:lvl w:ilvl="4" w:tplc="4B4ACF44">
      <w:numFmt w:val="bullet"/>
      <w:lvlText w:val="•"/>
      <w:lvlJc w:val="left"/>
      <w:pPr>
        <w:ind w:left="3528" w:hanging="195"/>
      </w:pPr>
      <w:rPr>
        <w:rFonts w:hint="default"/>
        <w:lang w:val="en-US" w:eastAsia="en-US" w:bidi="ar-SA"/>
      </w:rPr>
    </w:lvl>
    <w:lvl w:ilvl="5" w:tplc="07849C16">
      <w:numFmt w:val="bullet"/>
      <w:lvlText w:val="•"/>
      <w:lvlJc w:val="left"/>
      <w:pPr>
        <w:ind w:left="4360" w:hanging="195"/>
      </w:pPr>
      <w:rPr>
        <w:rFonts w:hint="default"/>
        <w:lang w:val="en-US" w:eastAsia="en-US" w:bidi="ar-SA"/>
      </w:rPr>
    </w:lvl>
    <w:lvl w:ilvl="6" w:tplc="A3A6C5C0">
      <w:numFmt w:val="bullet"/>
      <w:lvlText w:val="•"/>
      <w:lvlJc w:val="left"/>
      <w:pPr>
        <w:ind w:left="5192" w:hanging="195"/>
      </w:pPr>
      <w:rPr>
        <w:rFonts w:hint="default"/>
        <w:lang w:val="en-US" w:eastAsia="en-US" w:bidi="ar-SA"/>
      </w:rPr>
    </w:lvl>
    <w:lvl w:ilvl="7" w:tplc="E18C5594">
      <w:numFmt w:val="bullet"/>
      <w:lvlText w:val="•"/>
      <w:lvlJc w:val="left"/>
      <w:pPr>
        <w:ind w:left="6024" w:hanging="195"/>
      </w:pPr>
      <w:rPr>
        <w:rFonts w:hint="default"/>
        <w:lang w:val="en-US" w:eastAsia="en-US" w:bidi="ar-SA"/>
      </w:rPr>
    </w:lvl>
    <w:lvl w:ilvl="8" w:tplc="7FAEBC0E">
      <w:numFmt w:val="bullet"/>
      <w:lvlText w:val="•"/>
      <w:lvlJc w:val="left"/>
      <w:pPr>
        <w:ind w:left="6856" w:hanging="19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1228"/>
    <w:rsid w:val="001D3E0C"/>
    <w:rsid w:val="00F119CE"/>
    <w:rsid w:val="00F412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084A"/>
  <w15:docId w15:val="{CC271D22-B2FF-497F-82E7-B12B8C3D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
      <w:outlineLvl w:val="0"/>
    </w:pPr>
    <w:rPr>
      <w:b/>
      <w:bCs/>
      <w:sz w:val="24"/>
      <w:szCs w:val="24"/>
    </w:rPr>
  </w:style>
  <w:style w:type="paragraph" w:styleId="Heading2">
    <w:name w:val="heading 2"/>
    <w:basedOn w:val="Normal"/>
    <w:uiPriority w:val="9"/>
    <w:unhideWhenUsed/>
    <w:qFormat/>
    <w:pPr>
      <w:spacing w:before="240"/>
      <w:ind w:left="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 w:right="22"/>
    </w:pPr>
    <w:rPr>
      <w:b/>
      <w:bCs/>
      <w:sz w:val="32"/>
      <w:szCs w:val="32"/>
    </w:rPr>
  </w:style>
  <w:style w:type="paragraph" w:styleId="ListParagraph">
    <w:name w:val="List Paragraph"/>
    <w:basedOn w:val="Normal"/>
    <w:uiPriority w:val="1"/>
    <w:qFormat/>
    <w:pPr>
      <w:ind w:left="195" w:hanging="19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chikaauliya5454@gmail.c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doi.org/10.3390/dj11090234"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52403/ijrr.20220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4617</Words>
  <Characters>26323</Characters>
  <Application>Microsoft Office Word</Application>
  <DocSecurity>0</DocSecurity>
  <Lines>219</Lines>
  <Paragraphs>61</Paragraphs>
  <ScaleCrop>false</ScaleCrop>
  <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CLP &amp; Hidrosefalus Literature Review Template_An-Najjari</dc:title>
  <cp:lastModifiedBy>Hype G12</cp:lastModifiedBy>
  <cp:revision>2</cp:revision>
  <dcterms:created xsi:type="dcterms:W3CDTF">2025-12-31T13:46:00Z</dcterms:created>
  <dcterms:modified xsi:type="dcterms:W3CDTF">2025-12-31T13:48:00Z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Producer">
    <vt:lpwstr>Skia/PDF m144 Google Docs Renderer</vt:lpwstr>
  </property>
  <property fmtid="{D5CDD505-2E9C-101B-9397-08002B2CF9AE}" pid="4" name="LastSaved">
    <vt:filetime>2025-12-31T00:00:00Z</vt:filetime>
  </property>
</Properties>
</file>