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513B5" w14:textId="77777777" w:rsidR="00570F12" w:rsidRPr="005F4423" w:rsidRDefault="00832ABA">
      <w:pPr>
        <w:spacing w:after="0" w:line="240" w:lineRule="auto"/>
        <w:jc w:val="both"/>
        <w:rPr>
          <w:rFonts w:ascii="Times New Roman" w:eastAsia="Times New Roman" w:hAnsi="Times New Roman" w:cs="Times New Roman"/>
          <w:b/>
          <w:sz w:val="24"/>
          <w:szCs w:val="24"/>
          <w:lang w:val="id-ID"/>
        </w:rPr>
      </w:pPr>
      <w:r w:rsidRPr="005F4423">
        <w:rPr>
          <w:rFonts w:ascii="Times New Roman" w:eastAsia="Times New Roman" w:hAnsi="Times New Roman" w:cs="Times New Roman"/>
          <w:b/>
          <w:sz w:val="24"/>
          <w:szCs w:val="24"/>
          <w:lang w:val="id-ID"/>
        </w:rPr>
        <w:t>Research Article</w:t>
      </w:r>
    </w:p>
    <w:p w14:paraId="4A71C2FF" w14:textId="77777777" w:rsidR="00570F12" w:rsidRPr="005F4423" w:rsidRDefault="00570F12">
      <w:pPr>
        <w:spacing w:after="0" w:line="240" w:lineRule="auto"/>
        <w:rPr>
          <w:rFonts w:ascii="Times New Roman" w:eastAsia="Times New Roman" w:hAnsi="Times New Roman" w:cs="Times New Roman"/>
          <w:b/>
          <w:sz w:val="32"/>
          <w:szCs w:val="32"/>
          <w:lang w:val="id-ID"/>
        </w:rPr>
      </w:pPr>
    </w:p>
    <w:p w14:paraId="1320D089" w14:textId="1F532CBB" w:rsidR="006E1E10" w:rsidRPr="005F4423" w:rsidRDefault="00A47B71" w:rsidP="006E1E10">
      <w:pPr>
        <w:spacing w:after="0" w:line="240" w:lineRule="auto"/>
        <w:jc w:val="both"/>
        <w:rPr>
          <w:rFonts w:ascii="Times New Roman" w:eastAsia="Times New Roman" w:hAnsi="Times New Roman" w:cs="Times New Roman"/>
          <w:b/>
          <w:sz w:val="32"/>
          <w:szCs w:val="32"/>
          <w:lang w:val="id-ID"/>
        </w:rPr>
      </w:pPr>
      <w:r w:rsidRPr="00A47B71">
        <w:rPr>
          <w:rFonts w:ascii="Times New Roman" w:eastAsia="Times New Roman" w:hAnsi="Times New Roman" w:cs="Times New Roman"/>
          <w:b/>
          <w:sz w:val="32"/>
          <w:szCs w:val="32"/>
          <w:lang w:val="id-ID"/>
        </w:rPr>
        <w:t>Kolaborasi Relawan Mahasiswa FKG UM Surabaya dan Singapore Polytechnic dalam Program Deteksi Dini Penyakit Kardiovaskular pada Komunitas Lansia Keat Hong CC Singapore</w:t>
      </w:r>
    </w:p>
    <w:p w14:paraId="6CECD4D5" w14:textId="77777777" w:rsidR="006E1E10" w:rsidRPr="005F4423" w:rsidRDefault="006E1E10" w:rsidP="006E1E10">
      <w:pPr>
        <w:spacing w:after="0" w:line="240" w:lineRule="auto"/>
        <w:jc w:val="center"/>
        <w:rPr>
          <w:rFonts w:ascii="Times New Roman" w:eastAsia="Times New Roman" w:hAnsi="Times New Roman" w:cs="Times New Roman"/>
          <w:b/>
          <w:sz w:val="24"/>
          <w:szCs w:val="24"/>
          <w:lang w:val="id-ID"/>
        </w:rPr>
      </w:pPr>
    </w:p>
    <w:p w14:paraId="54ADF101" w14:textId="07DF928F" w:rsidR="006E1E10" w:rsidRPr="00A47B71" w:rsidRDefault="00A47B71" w:rsidP="006E1E10">
      <w:pPr>
        <w:spacing w:after="0" w:line="240" w:lineRule="auto"/>
        <w:jc w:val="both"/>
        <w:rPr>
          <w:rFonts w:ascii="Times New Roman" w:eastAsia="Times New Roman" w:hAnsi="Times New Roman" w:cs="Times New Roman"/>
          <w:b/>
          <w:sz w:val="20"/>
          <w:szCs w:val="20"/>
          <w:lang w:val="id-ID"/>
        </w:rPr>
      </w:pPr>
      <w:r w:rsidRPr="00A47B71">
        <w:rPr>
          <w:rFonts w:ascii="Times New Roman" w:eastAsia="Times New Roman" w:hAnsi="Times New Roman" w:cs="Times New Roman"/>
          <w:b/>
          <w:sz w:val="20"/>
          <w:szCs w:val="20"/>
          <w:lang w:val="id-ID"/>
        </w:rPr>
        <w:t>Lisa Rosyelina</w:t>
      </w:r>
      <w:r w:rsidRPr="00A47B71">
        <w:rPr>
          <w:rFonts w:ascii="Times New Roman" w:eastAsia="Times New Roman" w:hAnsi="Times New Roman" w:cs="Times New Roman"/>
          <w:b/>
          <w:sz w:val="20"/>
          <w:szCs w:val="20"/>
          <w:vertAlign w:val="superscript"/>
          <w:lang w:val="id-ID"/>
        </w:rPr>
        <w:t>1</w:t>
      </w:r>
      <w:r w:rsidRPr="00A47B71">
        <w:rPr>
          <w:rFonts w:ascii="Times New Roman" w:eastAsia="Times New Roman" w:hAnsi="Times New Roman" w:cs="Times New Roman"/>
          <w:b/>
          <w:sz w:val="20"/>
          <w:szCs w:val="20"/>
          <w:lang w:val="id-ID"/>
        </w:rPr>
        <w:t>, Dewi Nurlaili Horiono Putri</w:t>
      </w:r>
      <w:r w:rsidRPr="00A47B71">
        <w:rPr>
          <w:rFonts w:ascii="Times New Roman" w:eastAsia="Times New Roman" w:hAnsi="Times New Roman" w:cs="Times New Roman"/>
          <w:b/>
          <w:sz w:val="20"/>
          <w:szCs w:val="20"/>
          <w:vertAlign w:val="superscript"/>
          <w:lang w:val="id-ID"/>
        </w:rPr>
        <w:t>2</w:t>
      </w:r>
      <w:r w:rsidRPr="00A47B71">
        <w:rPr>
          <w:rFonts w:ascii="Times New Roman" w:eastAsia="Times New Roman" w:hAnsi="Times New Roman" w:cs="Times New Roman"/>
          <w:b/>
          <w:sz w:val="20"/>
          <w:szCs w:val="20"/>
          <w:lang w:val="id-ID"/>
        </w:rPr>
        <w:t>, Rahma Nur Aini</w:t>
      </w:r>
      <w:r w:rsidRPr="00A47B71">
        <w:rPr>
          <w:rFonts w:ascii="Times New Roman" w:eastAsia="Times New Roman" w:hAnsi="Times New Roman" w:cs="Times New Roman"/>
          <w:b/>
          <w:sz w:val="20"/>
          <w:szCs w:val="20"/>
          <w:vertAlign w:val="superscript"/>
          <w:lang w:val="id-ID"/>
        </w:rPr>
        <w:t>3</w:t>
      </w:r>
      <w:r w:rsidRPr="00A47B71">
        <w:rPr>
          <w:rFonts w:ascii="Times New Roman" w:eastAsia="Times New Roman" w:hAnsi="Times New Roman" w:cs="Times New Roman"/>
          <w:b/>
          <w:sz w:val="20"/>
          <w:szCs w:val="20"/>
          <w:lang w:val="id-ID"/>
        </w:rPr>
        <w:t>, Ng Yu Yao</w:t>
      </w:r>
      <w:r w:rsidRPr="00A47B71">
        <w:rPr>
          <w:rFonts w:ascii="Times New Roman" w:eastAsia="Times New Roman" w:hAnsi="Times New Roman" w:cs="Times New Roman"/>
          <w:b/>
          <w:sz w:val="20"/>
          <w:szCs w:val="20"/>
          <w:vertAlign w:val="superscript"/>
          <w:lang w:val="id-ID"/>
        </w:rPr>
        <w:t>4</w:t>
      </w:r>
      <w:r w:rsidRPr="00A47B71">
        <w:rPr>
          <w:rFonts w:ascii="Times New Roman" w:eastAsia="Times New Roman" w:hAnsi="Times New Roman" w:cs="Times New Roman"/>
          <w:b/>
          <w:sz w:val="20"/>
          <w:szCs w:val="20"/>
          <w:lang w:val="id-ID"/>
        </w:rPr>
        <w:t>, Jovian Heng Wei Jie</w:t>
      </w:r>
      <w:r w:rsidRPr="00A47B71">
        <w:rPr>
          <w:rFonts w:ascii="Times New Roman" w:eastAsia="Times New Roman" w:hAnsi="Times New Roman" w:cs="Times New Roman"/>
          <w:b/>
          <w:sz w:val="20"/>
          <w:szCs w:val="20"/>
          <w:vertAlign w:val="superscript"/>
          <w:lang w:val="id-ID"/>
        </w:rPr>
        <w:t>5</w:t>
      </w:r>
      <w:r w:rsidRPr="00A47B71">
        <w:rPr>
          <w:rFonts w:ascii="Times New Roman" w:eastAsia="Times New Roman" w:hAnsi="Times New Roman" w:cs="Times New Roman"/>
          <w:b/>
          <w:sz w:val="20"/>
          <w:szCs w:val="20"/>
          <w:lang w:val="id-ID"/>
        </w:rPr>
        <w:t>, Fatkhur Huda</w:t>
      </w:r>
      <w:r w:rsidRPr="00A47B71">
        <w:rPr>
          <w:rFonts w:ascii="Times New Roman" w:eastAsia="Times New Roman" w:hAnsi="Times New Roman" w:cs="Times New Roman"/>
          <w:b/>
          <w:sz w:val="20"/>
          <w:szCs w:val="20"/>
          <w:vertAlign w:val="superscript"/>
          <w:lang w:val="id-ID"/>
        </w:rPr>
        <w:t>6</w:t>
      </w:r>
      <w:r w:rsidRPr="00A47B71">
        <w:rPr>
          <w:rFonts w:ascii="Times New Roman" w:eastAsia="Times New Roman" w:hAnsi="Times New Roman" w:cs="Times New Roman"/>
          <w:b/>
          <w:sz w:val="20"/>
          <w:szCs w:val="20"/>
          <w:lang w:val="id-ID"/>
        </w:rPr>
        <w:t>, Meirna Dewita Sari</w:t>
      </w:r>
      <w:r w:rsidRPr="00A47B71">
        <w:rPr>
          <w:rFonts w:ascii="Times New Roman" w:eastAsia="Times New Roman" w:hAnsi="Times New Roman" w:cs="Times New Roman"/>
          <w:b/>
          <w:sz w:val="20"/>
          <w:szCs w:val="20"/>
          <w:vertAlign w:val="superscript"/>
          <w:lang w:val="id-ID"/>
        </w:rPr>
        <w:t>1</w:t>
      </w:r>
    </w:p>
    <w:p w14:paraId="3003967F" w14:textId="77777777" w:rsidR="006E1E10" w:rsidRPr="005F4423" w:rsidRDefault="006E1E10" w:rsidP="006E1E10">
      <w:pPr>
        <w:spacing w:after="0" w:line="240" w:lineRule="auto"/>
        <w:jc w:val="center"/>
        <w:rPr>
          <w:rFonts w:ascii="Times New Roman" w:eastAsia="Times New Roman" w:hAnsi="Times New Roman" w:cs="Times New Roman"/>
          <w:i/>
          <w:sz w:val="20"/>
          <w:szCs w:val="20"/>
          <w:lang w:val="id-ID"/>
        </w:rPr>
      </w:pPr>
    </w:p>
    <w:p w14:paraId="165AD2B3" w14:textId="0F8604EC" w:rsidR="00A47B71" w:rsidRPr="00A47B71" w:rsidRDefault="00A47B71" w:rsidP="00A47B71">
      <w:pPr>
        <w:pStyle w:val="ListParagraph"/>
        <w:numPr>
          <w:ilvl w:val="0"/>
          <w:numId w:val="1"/>
        </w:numPr>
        <w:spacing w:after="0" w:line="240" w:lineRule="auto"/>
        <w:ind w:left="284" w:hanging="284"/>
        <w:rPr>
          <w:rFonts w:ascii="Times New Roman" w:eastAsia="Times New Roman" w:hAnsi="Times New Roman" w:cs="Times New Roman"/>
          <w:sz w:val="18"/>
          <w:szCs w:val="18"/>
          <w:lang w:val="id-ID"/>
        </w:rPr>
      </w:pPr>
      <w:r w:rsidRPr="00A47B71">
        <w:rPr>
          <w:rFonts w:ascii="Times New Roman" w:eastAsia="Times New Roman" w:hAnsi="Times New Roman" w:cs="Times New Roman"/>
          <w:sz w:val="18"/>
          <w:szCs w:val="18"/>
          <w:lang w:val="id-ID"/>
        </w:rPr>
        <w:t>Fakultas Kedokeran Gigi, Universitas Muhammadiyah Surabaya</w:t>
      </w:r>
    </w:p>
    <w:p w14:paraId="3551EB1B" w14:textId="237789B5" w:rsidR="00A47B71" w:rsidRPr="00A47B71" w:rsidRDefault="00A47B71" w:rsidP="00A47B71">
      <w:pPr>
        <w:pStyle w:val="ListParagraph"/>
        <w:numPr>
          <w:ilvl w:val="0"/>
          <w:numId w:val="1"/>
        </w:numPr>
        <w:spacing w:after="0" w:line="240" w:lineRule="auto"/>
        <w:ind w:left="284" w:hanging="284"/>
        <w:rPr>
          <w:rFonts w:ascii="Times New Roman" w:eastAsia="Times New Roman" w:hAnsi="Times New Roman" w:cs="Times New Roman"/>
          <w:sz w:val="18"/>
          <w:szCs w:val="18"/>
          <w:lang w:val="id-ID"/>
        </w:rPr>
      </w:pPr>
      <w:r w:rsidRPr="00A47B71">
        <w:rPr>
          <w:rFonts w:ascii="Times New Roman" w:eastAsia="Times New Roman" w:hAnsi="Times New Roman" w:cs="Times New Roman"/>
          <w:sz w:val="18"/>
          <w:szCs w:val="18"/>
          <w:lang w:val="id-ID"/>
        </w:rPr>
        <w:t>Fakultas Psikologi, Universitas Muhammadiyah Surabaya</w:t>
      </w:r>
    </w:p>
    <w:p w14:paraId="22B528A0" w14:textId="3BEAB288" w:rsidR="00A47B71" w:rsidRPr="00A47B71" w:rsidRDefault="00A47B71" w:rsidP="00A47B71">
      <w:pPr>
        <w:pStyle w:val="ListParagraph"/>
        <w:numPr>
          <w:ilvl w:val="0"/>
          <w:numId w:val="1"/>
        </w:numPr>
        <w:spacing w:after="0" w:line="240" w:lineRule="auto"/>
        <w:ind w:left="284" w:hanging="284"/>
        <w:rPr>
          <w:rFonts w:ascii="Times New Roman" w:eastAsia="Times New Roman" w:hAnsi="Times New Roman" w:cs="Times New Roman"/>
          <w:sz w:val="18"/>
          <w:szCs w:val="18"/>
          <w:lang w:val="id-ID"/>
        </w:rPr>
      </w:pPr>
      <w:r w:rsidRPr="00A47B71">
        <w:rPr>
          <w:rFonts w:ascii="Times New Roman" w:eastAsia="Times New Roman" w:hAnsi="Times New Roman" w:cs="Times New Roman"/>
          <w:sz w:val="18"/>
          <w:szCs w:val="18"/>
          <w:lang w:val="id-ID"/>
        </w:rPr>
        <w:t>Fakultas Ilmu Keguruan, Universitas Muhammadiyah Surabaya</w:t>
      </w:r>
    </w:p>
    <w:p w14:paraId="1AE45659" w14:textId="35CFD3B7" w:rsidR="00A47B71" w:rsidRPr="00A47B71" w:rsidRDefault="00A47B71" w:rsidP="00A47B71">
      <w:pPr>
        <w:pStyle w:val="ListParagraph"/>
        <w:numPr>
          <w:ilvl w:val="0"/>
          <w:numId w:val="1"/>
        </w:numPr>
        <w:spacing w:after="0" w:line="240" w:lineRule="auto"/>
        <w:ind w:left="284" w:hanging="284"/>
        <w:rPr>
          <w:rFonts w:ascii="Times New Roman" w:eastAsia="Times New Roman" w:hAnsi="Times New Roman" w:cs="Times New Roman"/>
          <w:sz w:val="18"/>
          <w:szCs w:val="18"/>
          <w:lang w:val="id-ID"/>
        </w:rPr>
      </w:pPr>
      <w:r w:rsidRPr="00A47B71">
        <w:rPr>
          <w:rFonts w:ascii="Times New Roman" w:eastAsia="Times New Roman" w:hAnsi="Times New Roman" w:cs="Times New Roman"/>
          <w:sz w:val="18"/>
          <w:szCs w:val="18"/>
          <w:lang w:val="id-ID"/>
        </w:rPr>
        <w:t>Diploma in Information Technology, Singapore Polytechnic</w:t>
      </w:r>
    </w:p>
    <w:p w14:paraId="44D14E1A" w14:textId="00F9D1D3" w:rsidR="00A47B71" w:rsidRPr="00A47B71" w:rsidRDefault="00A47B71" w:rsidP="00A47B71">
      <w:pPr>
        <w:pStyle w:val="ListParagraph"/>
        <w:numPr>
          <w:ilvl w:val="0"/>
          <w:numId w:val="1"/>
        </w:numPr>
        <w:spacing w:after="0" w:line="240" w:lineRule="auto"/>
        <w:ind w:left="284" w:hanging="284"/>
        <w:rPr>
          <w:rFonts w:ascii="Times New Roman" w:eastAsia="Times New Roman" w:hAnsi="Times New Roman" w:cs="Times New Roman"/>
          <w:sz w:val="18"/>
          <w:szCs w:val="18"/>
          <w:lang w:val="id-ID"/>
        </w:rPr>
      </w:pPr>
      <w:r w:rsidRPr="00A47B71">
        <w:rPr>
          <w:rFonts w:ascii="Times New Roman" w:eastAsia="Times New Roman" w:hAnsi="Times New Roman" w:cs="Times New Roman"/>
          <w:sz w:val="18"/>
          <w:szCs w:val="18"/>
          <w:lang w:val="id-ID"/>
        </w:rPr>
        <w:t>Diploma in Computer Engineering, Singapore Polytechnic</w:t>
      </w:r>
    </w:p>
    <w:p w14:paraId="776276C1" w14:textId="2CAE1702" w:rsidR="006E1E10" w:rsidRPr="00A47B71" w:rsidRDefault="00A47B71" w:rsidP="00A47B71">
      <w:pPr>
        <w:pStyle w:val="ListParagraph"/>
        <w:numPr>
          <w:ilvl w:val="0"/>
          <w:numId w:val="1"/>
        </w:numPr>
        <w:spacing w:after="0" w:line="240" w:lineRule="auto"/>
        <w:ind w:left="284" w:hanging="284"/>
        <w:rPr>
          <w:rFonts w:ascii="Times New Roman" w:eastAsia="Times New Roman" w:hAnsi="Times New Roman" w:cs="Times New Roman"/>
          <w:sz w:val="18"/>
          <w:szCs w:val="18"/>
          <w:lang w:val="id-ID"/>
        </w:rPr>
      </w:pPr>
      <w:r w:rsidRPr="00A47B71">
        <w:rPr>
          <w:rFonts w:ascii="Times New Roman" w:eastAsia="Times New Roman" w:hAnsi="Times New Roman" w:cs="Times New Roman"/>
          <w:sz w:val="18"/>
          <w:szCs w:val="18"/>
          <w:lang w:val="id-ID"/>
        </w:rPr>
        <w:t>Fakultas Agama Islam, Universitas Muhammadiyah Surabaya</w:t>
      </w:r>
    </w:p>
    <w:p w14:paraId="1772D3E9" w14:textId="77777777" w:rsidR="006E1E10" w:rsidRPr="005F4423" w:rsidRDefault="006E1E10" w:rsidP="006E1E10">
      <w:pPr>
        <w:spacing w:after="0" w:line="240" w:lineRule="auto"/>
        <w:rPr>
          <w:rFonts w:ascii="Times New Roman" w:eastAsia="Times New Roman" w:hAnsi="Times New Roman" w:cs="Times New Roman"/>
          <w:sz w:val="18"/>
          <w:szCs w:val="18"/>
          <w:lang w:val="id-ID"/>
        </w:rPr>
      </w:pPr>
    </w:p>
    <w:p w14:paraId="2B38469F" w14:textId="77777777" w:rsidR="006E1E10" w:rsidRPr="005F4423" w:rsidRDefault="006E1E10" w:rsidP="006E1E10">
      <w:pPr>
        <w:shd w:val="clear" w:color="auto" w:fill="FFFFFF"/>
        <w:spacing w:after="0" w:line="240" w:lineRule="auto"/>
        <w:jc w:val="center"/>
        <w:rPr>
          <w:rFonts w:ascii="Times New Roman" w:eastAsia="Times New Roman" w:hAnsi="Times New Roman" w:cs="Times New Roman"/>
          <w:color w:val="FF0000"/>
          <w:sz w:val="20"/>
          <w:szCs w:val="20"/>
          <w:lang w:val="id-ID"/>
        </w:rPr>
      </w:pPr>
    </w:p>
    <w:p w14:paraId="28FA0559" w14:textId="77777777" w:rsidR="006E1E10" w:rsidRPr="005F4423" w:rsidRDefault="006E1E10" w:rsidP="006E1E10">
      <w:pPr>
        <w:spacing w:after="0"/>
        <w:jc w:val="center"/>
        <w:rPr>
          <w:rFonts w:ascii="Times New Roman" w:eastAsia="Times New Roman" w:hAnsi="Times New Roman" w:cs="Times New Roman"/>
          <w:b/>
          <w:sz w:val="24"/>
          <w:szCs w:val="24"/>
          <w:lang w:val="id-ID"/>
        </w:rPr>
      </w:pPr>
      <w:r w:rsidRPr="005F4423">
        <w:rPr>
          <w:rFonts w:ascii="Times New Roman" w:eastAsia="Times New Roman" w:hAnsi="Times New Roman" w:cs="Times New Roman"/>
          <w:b/>
          <w:sz w:val="24"/>
          <w:szCs w:val="24"/>
          <w:lang w:val="id-ID"/>
        </w:rPr>
        <w:t>Abstrak</w:t>
      </w:r>
    </w:p>
    <w:p w14:paraId="1AABFB08" w14:textId="77777777" w:rsidR="006E1E10" w:rsidRPr="005F4423" w:rsidRDefault="006E1E10" w:rsidP="006E1E10">
      <w:pPr>
        <w:spacing w:after="0"/>
        <w:jc w:val="center"/>
        <w:rPr>
          <w:rFonts w:ascii="Times New Roman" w:eastAsia="Times New Roman" w:hAnsi="Times New Roman" w:cs="Times New Roman"/>
          <w:b/>
          <w:sz w:val="24"/>
          <w:szCs w:val="24"/>
          <w:lang w:val="id-ID"/>
        </w:rPr>
      </w:pPr>
    </w:p>
    <w:p w14:paraId="52CA1143" w14:textId="01F805F4" w:rsidR="006E1E10" w:rsidRPr="005F4423" w:rsidRDefault="00A47B71" w:rsidP="006E1E10">
      <w:pPr>
        <w:spacing w:after="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Populasi lansia memiliki kerentanan tinggi terhadap penyakit kronis terutama penyakit kardiovaskular, sehingga diperlukan upaya deteksi dini dan edukasi kesehatan berbasis komunitas untuk meningkatkan kualitas hidup dan mencegah komplikasi. Kegiatan pengabdian masyarakat ini bertujuan untuk meningkatkan kesadaran kesehatan dan mengidentifikasi risiko penyakit kardiovaskular pada komunitas lansia Keat Hong, Singapore, melalui kolaborasi relawan mahasiswa Fakultas Kedokteran Gigi Universitas Muhammadiyah Surabaya (FKG UM Surabaya) dan mahasiswa Singapore Polytechnic. Kegiatan dilaksanakan pada 13 September 2025 di Keat Hong Community Club Singapore yang diselenggarakan oleh National University Heart Centre Singapore (NUHCS). Pelaksanaan kegiatan mencakup penyuluhan kesehatan mengenai pencegahan penyakit kardiovaskular serta pemeriksaan kesehatan meliputi ECG screening, Leg Screening untuk Peripheral Arterial Disease, pemeriksaan tekanan darah, kolesterol, dan gula darah. Hasil pelaksanaan menunjukkan tingginya tingkat partisipasi dan antusiasme lansia, serta peningkatan pengetahuan mengenai gaya hidup sehat setelah mengikuti edukasi. Pemeriksaan kesehatan juga membantu peserta mengenali kondisi kesehatannya sehingga mendorong tindak lanjut medis bila diperlukan. Selain berdampak positif bagi masyarakat, kegiatan ini memperkuat kompetensi relawan mahasiswa terutama dalam komunikasi, pelayanan kesehatan berbasis empati, dan kolaborasi interprofesional lintas negara. Secara keseluruhan, program ini terbukti mendukung upaya promotif dan preventif kesehatan lansia dan direkomendasikan untuk dilanjutkan secara berkelanjutan.</w:t>
      </w:r>
    </w:p>
    <w:p w14:paraId="2D050963" w14:textId="77777777" w:rsidR="006E1E10" w:rsidRPr="005F4423" w:rsidRDefault="006E1E10" w:rsidP="006E1E10">
      <w:pPr>
        <w:widowControl w:val="0"/>
        <w:spacing w:after="0"/>
        <w:jc w:val="both"/>
        <w:rPr>
          <w:rFonts w:ascii="Times New Roman" w:eastAsia="Times New Roman" w:hAnsi="Times New Roman" w:cs="Times New Roman"/>
          <w:b/>
          <w:color w:val="000000"/>
          <w:sz w:val="24"/>
          <w:szCs w:val="24"/>
          <w:lang w:val="id-ID"/>
        </w:rPr>
      </w:pPr>
    </w:p>
    <w:p w14:paraId="3545F0D5" w14:textId="6CF8BCEF" w:rsidR="006E1E10" w:rsidRPr="005F4423" w:rsidRDefault="006E1E10" w:rsidP="006E1E10">
      <w:pPr>
        <w:widowControl w:val="0"/>
        <w:tabs>
          <w:tab w:val="left" w:pos="1843"/>
          <w:tab w:val="left" w:pos="1985"/>
        </w:tabs>
        <w:spacing w:after="0"/>
        <w:ind w:left="1985" w:hanging="1985"/>
        <w:jc w:val="both"/>
        <w:rPr>
          <w:rFonts w:ascii="Times New Roman" w:eastAsia="Times New Roman" w:hAnsi="Times New Roman" w:cs="Times New Roman"/>
          <w:bCs/>
          <w:color w:val="000000"/>
          <w:sz w:val="24"/>
          <w:szCs w:val="24"/>
          <w:lang w:val="id-ID"/>
        </w:rPr>
      </w:pPr>
      <w:r w:rsidRPr="005F4423">
        <w:rPr>
          <w:rFonts w:ascii="Times New Roman" w:eastAsia="Times New Roman" w:hAnsi="Times New Roman" w:cs="Times New Roman"/>
          <w:b/>
          <w:color w:val="000000"/>
          <w:sz w:val="24"/>
          <w:szCs w:val="24"/>
          <w:lang w:val="id-ID"/>
        </w:rPr>
        <w:t>Kata kunci</w:t>
      </w:r>
      <w:r w:rsidRPr="005F4423">
        <w:rPr>
          <w:rFonts w:ascii="Times New Roman" w:eastAsia="Times New Roman" w:hAnsi="Times New Roman" w:cs="Times New Roman"/>
          <w:bCs/>
          <w:color w:val="000000"/>
          <w:sz w:val="24"/>
          <w:szCs w:val="24"/>
          <w:lang w:val="id-ID"/>
        </w:rPr>
        <w:tab/>
        <w:t>:</w:t>
      </w:r>
      <w:r w:rsidR="00A47B71">
        <w:rPr>
          <w:rFonts w:ascii="Times New Roman" w:eastAsia="Times New Roman" w:hAnsi="Times New Roman" w:cs="Times New Roman"/>
          <w:bCs/>
          <w:color w:val="000000"/>
          <w:sz w:val="24"/>
          <w:szCs w:val="24"/>
          <w:lang w:val="id-ID"/>
        </w:rPr>
        <w:t xml:space="preserve"> </w:t>
      </w:r>
      <w:r w:rsidR="00A47B71" w:rsidRPr="00A47B71">
        <w:rPr>
          <w:rFonts w:ascii="Times New Roman" w:eastAsia="Times New Roman" w:hAnsi="Times New Roman" w:cs="Times New Roman"/>
          <w:bCs/>
          <w:color w:val="000000"/>
          <w:sz w:val="24"/>
          <w:szCs w:val="24"/>
          <w:lang w:val="id-ID"/>
        </w:rPr>
        <w:t>Lansia, Screening Kardiovaskular, Penyuluhan Kesehatan, Kolaborasi Internasional, Pengabdian Masyarakat</w:t>
      </w:r>
    </w:p>
    <w:p w14:paraId="369189C3" w14:textId="35B99643" w:rsidR="00570F12" w:rsidRPr="00A47B71" w:rsidRDefault="006E1E10" w:rsidP="00A47B71">
      <w:pPr>
        <w:widowControl w:val="0"/>
        <w:tabs>
          <w:tab w:val="left" w:pos="1843"/>
          <w:tab w:val="left" w:pos="1985"/>
        </w:tabs>
        <w:spacing w:after="0"/>
        <w:ind w:left="1985" w:hanging="1985"/>
        <w:jc w:val="both"/>
        <w:rPr>
          <w:rFonts w:ascii="Times New Roman" w:eastAsia="Times New Roman" w:hAnsi="Times New Roman" w:cs="Times New Roman"/>
          <w:sz w:val="24"/>
          <w:szCs w:val="24"/>
          <w:lang w:val="id-ID"/>
        </w:rPr>
      </w:pPr>
      <w:r w:rsidRPr="005F4423">
        <w:rPr>
          <w:rFonts w:ascii="Times New Roman" w:eastAsia="Times New Roman" w:hAnsi="Times New Roman" w:cs="Times New Roman"/>
          <w:b/>
          <w:color w:val="000000"/>
          <w:sz w:val="24"/>
          <w:szCs w:val="24"/>
          <w:lang w:val="id-ID"/>
        </w:rPr>
        <w:t>Kontak</w:t>
      </w:r>
      <w:r w:rsidRPr="005F4423">
        <w:rPr>
          <w:rFonts w:ascii="Times New Roman" w:eastAsia="Times New Roman" w:hAnsi="Times New Roman" w:cs="Times New Roman"/>
          <w:bCs/>
          <w:color w:val="000000"/>
          <w:sz w:val="24"/>
          <w:szCs w:val="24"/>
          <w:lang w:val="id-ID"/>
        </w:rPr>
        <w:tab/>
        <w:t xml:space="preserve">: </w:t>
      </w:r>
      <w:r w:rsidR="001151C6" w:rsidRPr="001151C6">
        <w:rPr>
          <w:rFonts w:ascii="Times New Roman" w:eastAsia="Times New Roman" w:hAnsi="Times New Roman" w:cs="Times New Roman"/>
          <w:bCs/>
          <w:color w:val="000000"/>
          <w:sz w:val="24"/>
          <w:szCs w:val="24"/>
          <w:lang w:val="id-ID"/>
        </w:rPr>
        <w:t>lisa.rosyelina-2023@fkg.um-surabaya.ac.id</w:t>
      </w:r>
      <w:r w:rsidRPr="005F4423">
        <w:rPr>
          <w:lang w:val="id-ID"/>
        </w:rPr>
        <w:br w:type="page"/>
      </w:r>
    </w:p>
    <w:p w14:paraId="085ED0F0" w14:textId="7EB9F113" w:rsidR="00570F12" w:rsidRPr="005F4423" w:rsidRDefault="006E1E10">
      <w:pPr>
        <w:spacing w:after="120" w:line="360" w:lineRule="auto"/>
        <w:jc w:val="both"/>
        <w:rPr>
          <w:rFonts w:ascii="Times New Roman" w:eastAsia="Times New Roman" w:hAnsi="Times New Roman" w:cs="Times New Roman"/>
          <w:b/>
          <w:sz w:val="24"/>
          <w:szCs w:val="24"/>
          <w:lang w:val="id-ID"/>
        </w:rPr>
      </w:pPr>
      <w:r w:rsidRPr="005F4423">
        <w:rPr>
          <w:rFonts w:ascii="Times New Roman" w:eastAsia="Times New Roman" w:hAnsi="Times New Roman" w:cs="Times New Roman"/>
          <w:b/>
          <w:sz w:val="24"/>
          <w:szCs w:val="24"/>
          <w:lang w:val="id-ID"/>
        </w:rPr>
        <w:lastRenderedPageBreak/>
        <w:t xml:space="preserve">PENDAHULUAN </w:t>
      </w:r>
    </w:p>
    <w:p w14:paraId="70FDE4A0" w14:textId="77777777" w:rsidR="00A47B71" w:rsidRPr="00A47B71"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Peningkatan jumlah populasi lanjut usia di berbagai negara, termasuk kawasan Asia, berdampak langsung pada meningkatnya beban penyakit kronis dan degeneratif, khususnya penyakit kardiovaskular. Lansia memiliki risiko tinggi mengalami hipertensi, diabetes, dan aterosklerosis akibat perubahan fisiologis, gaya hidup, dan penurunan fungsi tubuh seiring bertambahnya usia (Tan et al., 2021). Tanpa upaya deteksi dini dan edukasi kesehatan yang memadai, kondisi ini dapat berkembang menjadi komplikasi berat yang menurunkan kualitas hidup lansia (Lim &amp; Chong, 2022). Oleh karena itu, intervensi kesehatan komunitas menjadi strategi penting dalam menjaga kesehatan lansia secara preventif dan promotif.</w:t>
      </w:r>
    </w:p>
    <w:p w14:paraId="5738B41A" w14:textId="77777777" w:rsidR="00A47B71" w:rsidRPr="00A47B71"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Screening kesehatan kardiovaskular seperti pemeriksaan tekanan darah, kadar kolesterol, gula darah, hingga elektrokardiografi (ECG) terbukti mampu mendeteksi risiko penyakit lebih awal dan menurunkan angka kejadian kejadian kardiovaskular akut (Mohan et al., 2023). Deteksi dini sangat efektif dilakukan pada komunitas lansia yang aktif mengikuti kegiatan sosial, termasuk komunitas lansia di Singapore yang secara konsisten mengadopsi pendekatan community-based health promotion (Lee &amp; Goh, 2020). Integrasi kegiatan edukasi kesehatan ke dalam program skrining juga terbukti meningkatkan kesadaran lansia terhadap pola hidup sehat dan kepatuhan terhadap terapi medis (Santos et al., 2021).</w:t>
      </w:r>
    </w:p>
    <w:p w14:paraId="35622B87" w14:textId="77777777" w:rsidR="00A47B71" w:rsidRPr="00A47B71"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Selain kontribusi pada kesehatan masyarakat, kegiatan pengabdian masyarakat berbasis pelayanan kesehatan juga memberikan manfaat signifikan bagi mahasiswa kesehatan. Keterlibatan mahasiswa dalam kegiatan masyarakat berpotensi meningkatkan kemampuan komunikasi, keterampilan klinis dasar, kepedulian sosial, dan kolaborasi lintas profesi (Khoo et al., 2023). Kolaborasi antarnegara dan lintas institusi semakin memperkuat kesempatan pembelajaran interprofesional karena mahasiswa terpapar praktik kesehatan berbasis budaya dan sistem pelayanan kesehatan yang berbeda (Yusuf &amp; Harsono, 2022). Ini sejalan dengan perkembangan global pendidikan kesehatan yang menekankan experiential learning dan interprofessional collaboration.</w:t>
      </w:r>
    </w:p>
    <w:p w14:paraId="5C1D2FC0" w14:textId="122CAAF8" w:rsidR="00570F12" w:rsidRPr="005F4423"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Kegiatan pengabdian masyarakat pada Keat Hong CC Singapore yang diselenggarakan oleh National University Heart Centre Singapore (NUHCS) menjadi wadah kerja sama relawan antara mahasiswa Fakultas Kedokteran Gigi Universitas Muhammadiyah Surabaya (FKG UM Surabaya) dan mahasiswa Singapore Polytechnic (SP). Kegiatan ini mencakup penyuluhan kesehatan dan pemeriksaan kesehatan seperti screening jantung (ECG), screening tungkai untuk Peripheral Arterial Disease, pemeriksaan tekanan darah, kolesterol, dan gula darah bagi komunitas lansia Keat Hong. Kerja sama lintas negara dan lintas institusi ini merupakan peluang besar untuk mengoptimalkan peran tenaga kesehatan muda sekaligus memperkuat pemeliharaan kesehatan komunitas lansia berdasarkan pendekatan promotif dan preventif.</w:t>
      </w:r>
    </w:p>
    <w:p w14:paraId="66BDAEB1" w14:textId="77777777" w:rsidR="00570F12" w:rsidRPr="005F4423" w:rsidRDefault="00570F12">
      <w:pPr>
        <w:spacing w:after="0" w:line="360" w:lineRule="auto"/>
        <w:jc w:val="both"/>
        <w:rPr>
          <w:rFonts w:ascii="Times New Roman" w:eastAsia="Times New Roman" w:hAnsi="Times New Roman" w:cs="Times New Roman"/>
          <w:b/>
          <w:sz w:val="24"/>
          <w:szCs w:val="24"/>
          <w:lang w:val="id-ID"/>
        </w:rPr>
      </w:pPr>
    </w:p>
    <w:p w14:paraId="15E3A341" w14:textId="24AC3755" w:rsidR="00570F12" w:rsidRPr="005F4423" w:rsidRDefault="00832ABA">
      <w:pPr>
        <w:spacing w:after="120" w:line="360" w:lineRule="auto"/>
        <w:jc w:val="both"/>
        <w:rPr>
          <w:rFonts w:ascii="Times New Roman" w:eastAsia="Times New Roman" w:hAnsi="Times New Roman" w:cs="Times New Roman"/>
          <w:b/>
          <w:sz w:val="24"/>
          <w:szCs w:val="24"/>
          <w:lang w:val="id-ID"/>
        </w:rPr>
      </w:pPr>
      <w:r w:rsidRPr="005F4423">
        <w:rPr>
          <w:rFonts w:ascii="Times New Roman" w:eastAsia="Times New Roman" w:hAnsi="Times New Roman" w:cs="Times New Roman"/>
          <w:b/>
          <w:sz w:val="24"/>
          <w:szCs w:val="24"/>
          <w:lang w:val="id-ID"/>
        </w:rPr>
        <w:lastRenderedPageBreak/>
        <w:t>MET</w:t>
      </w:r>
      <w:r w:rsidR="006E1E10" w:rsidRPr="005F4423">
        <w:rPr>
          <w:rFonts w:ascii="Times New Roman" w:eastAsia="Times New Roman" w:hAnsi="Times New Roman" w:cs="Times New Roman"/>
          <w:b/>
          <w:sz w:val="24"/>
          <w:szCs w:val="24"/>
          <w:lang w:val="id-ID"/>
        </w:rPr>
        <w:t>ODE</w:t>
      </w:r>
    </w:p>
    <w:p w14:paraId="41C21DCA" w14:textId="4651711A" w:rsidR="00570F12"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 xml:space="preserve">Kegiatan pengabdian masyarakat ini dilaksanakan pada tanggal 13 September 2025 di Keat Hong Community Club (Keat Hong CC) Singapore dengan sasaran utama komunitas lansia Keat Hong. Program ini diselenggarakan oleh National University Heart Centre Singapore (NUHCS) dan diikuti oleh relawan mahasiswa Fakultas Kedokteran Gigi Universitas Muhammadiyah Surabaya (FKG UM Surabaya) yang berkolaborasi dengan mahasiswa Singapore Polytechnic (SP). Pelaksanaan kegiatan diawali dengan tahap persiapan, termasuk koordinasi dengan pihak penyelenggara, pembagian penugasan relawan, penyusunan materi penyuluhan kesehatan, dan pelatihan internal bagi relawan mengenai alur pelayanan dan prosedur pemeriksaan kesehatan. Pelaksanaan kegiatan dilakukan dengan sistem alur pelayanan terpadu yang meliputi penyuluhan kesehatan terkait pencegahan penyakit kardiovaskular serta pelaksanaan screening meliputi pemeriksaan ECG untuk deteksi dini gangguan irama jantung, Leg Screening untuk screening Peripheral Arterial Disease, serta pemeriksaan tekanan darah, kolesterol, dan gula darah. Setiap lansia diarahkan melalui tahapan registrasi, pemeriksaan, penyuluhan, hingga konsultasi hasil, dengan pendampingan oleh relawan mahasiswa. Pada akhir kegiatan, dilakukan evaluasi berupa diskusi reflektif antara relawan dan panitia untuk menilai efektivitas pelaksanaan, hambatan yang muncul, serta rekomendasi untuk keberlanjutan program pada masa mendatang. </w:t>
      </w:r>
    </w:p>
    <w:p w14:paraId="132AAF95" w14:textId="77777777" w:rsidR="00A47B71" w:rsidRPr="005F4423" w:rsidRDefault="00A47B71" w:rsidP="00A47B71">
      <w:pPr>
        <w:spacing w:after="120"/>
        <w:jc w:val="both"/>
        <w:rPr>
          <w:rFonts w:ascii="Times New Roman" w:eastAsia="Times New Roman" w:hAnsi="Times New Roman" w:cs="Times New Roman"/>
          <w:sz w:val="24"/>
          <w:szCs w:val="24"/>
          <w:lang w:val="id-ID"/>
        </w:rPr>
      </w:pPr>
    </w:p>
    <w:p w14:paraId="4EFD97A9" w14:textId="57219C18" w:rsidR="00570F12" w:rsidRPr="005F4423" w:rsidRDefault="00A47B71">
      <w:pPr>
        <w:spacing w:after="120" w:line="36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KEGIATAN DAN PEMBAHASAN</w:t>
      </w:r>
    </w:p>
    <w:p w14:paraId="3CFECE24" w14:textId="77777777" w:rsidR="00A47B71"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Kegiatan pengabdian masyarakat ini berfokus pada peningkatan kesehatan preventif dan promotif komunitas lansia Keat Hong melalui penyuluhan kesehatan dan pemeriksaan medis komprehensif. Relawan mahasiswa FKG UM Surabaya dan mahasiswa Singapore Polytechnic bekerja sama dalam memberikan layanan screening kesehatan berupa pemeriksaan ECG untuk deteksi gangguan ritme jantung, Leg Screening untuk mendeteksi risiko Peripheral Arterial Disease, serta pemeriksaan tekanan darah, kolesterol, dan gula darah. Strategi pemeriksaan multimodal ini bertujuan untuk mendeteksi faktor risiko penyakit kardiovaskular sedini mungkin dan memberikan rekomendasi medis awal bagi peserta lansia. Pendekatan layanan terpadu ini sesuai dengan program kesehatan berbasis komunitas untuk lansia yang direkomendasikan WHO regional Asia (Santos et al., 2022).</w:t>
      </w:r>
    </w:p>
    <w:p w14:paraId="11C392CE" w14:textId="77777777" w:rsidR="00A47B71"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 xml:space="preserve">Penyuluhan kesehatan menjadi bagian penting dalam rangkaian kegiatan karena meningkatkan kesadaran terhadap faktor risiko dan gaya hidup sehat bagi lansia. Penyuluhan diberikan menggunakan metode komunikasi interpersonal sederhana, leaflet informasi, dan demonstrasi gaya hidup sehat. Edukasi berbasis interaksi terbukti lebih efektif dalam merubah perilaku dibandingkan penyampaian satu arah, khususnya pada populasi lansia (Wong &amp; Chia, 2021). Materi penyuluhan mencakup pengaturan pola makan seimbang, manajemen hipertensi dan diabetes, pengurangan konsumsi garam dan </w:t>
      </w:r>
      <w:r w:rsidRPr="00A47B71">
        <w:rPr>
          <w:rFonts w:ascii="Times New Roman" w:eastAsia="Times New Roman" w:hAnsi="Times New Roman" w:cs="Times New Roman"/>
          <w:sz w:val="24"/>
          <w:szCs w:val="24"/>
          <w:lang w:val="id-ID"/>
        </w:rPr>
        <w:lastRenderedPageBreak/>
        <w:t>gula, serta pentingnya aktivitas fisik ringan bagi lansia. Keterlibatan lansia dalam diskusi aktif menambah motivasi mereka untuk mengadopsi perilaku hidup sehat secara mandiri.</w:t>
      </w:r>
    </w:p>
    <w:p w14:paraId="00A8701D" w14:textId="77777777" w:rsidR="00A47B71"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Selama kegiatan screening, ditemukan beragam temuan klinis mulai dari tekanan darah tinggi, kenaikan kadar gula darah, hingga tanda-tanda risiko aterosklerosis perifer. Temuan ini sejalan dengan laporan epidemiologi bahwa penyakit kardiovaskular tetap menjadi penyebab utama morbiditas pada lansia di wilayah Asia (Tan et al., 2023). Meskipun kegiatan ini tidak bersifat diagnostik medis mendalam, hasil pemeriksaan memberikan informasi kunci bagi peserta untuk merencanakan konsultasi lanjutan dengan profesional kesehatan. Screening berbasis komunitas terbukti mampu meningkatkan kesadaran lansia terhadap status kesehatannya dan mendorong pencarian layanan medis lanjutan (Lim &amp; Ong, 2021).</w:t>
      </w:r>
    </w:p>
    <w:p w14:paraId="2F9DCAC3" w14:textId="77777777" w:rsidR="00A47B71"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Selain memberikan manfaat untuk masyarakat, kegiatan ini juga berdampak positif pada relawan mahasiswa. Mahasiswa FKG UM Surabaya mendapatkan pengalaman langsung dalam pelayanan kesehatan masyarakat berbasis kolaborasi interprofesional dan lintas negara. Program volunteer seperti ini terbukti mampu meningkatkan kemampuan komunikasi, empati dalam pelayanan kesehatan, responsivitas terhadap kebutuhan pasien lansia, dan kemampuan kerja tim (Khoo et al., 2023). Kolaborasi dengan mahasiswa Singapore Polytechnic memberikan kesempatan pembelajaran budaya dan sistem pelayanan berbeda yang sangat bermanfaat bagi calon tenaga kesehatan di era globalisasi.</w:t>
      </w:r>
    </w:p>
    <w:p w14:paraId="06A7CFE8" w14:textId="681603D4" w:rsidR="00570F12" w:rsidRPr="005F4423"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Evaluasi akhir kegiatan menunjukkan antusiasme tinggi dari peserta lansia maupun tim relawan. Mayoritas peserta menyatakan merasa terbantu karena mendapatkan pemeriksaan kesehatan secara langsung tanpa biaya serta memperoleh edukasi kesehatan yang mudah dipahami. Respon positif ini mencerminkan pentingnya keberlanjutan program promotif-preventif dalam komunitas lansia untuk mengurangi risiko penyakit kronis dan meningkatkan kualitas hidup (Rahman &amp; Setiawan, 2024). Dengan demikian, kegiatan ini tidak hanya memberikan kontribusi nyata pada pemeliharaan kesehatan lansia tetapi juga memperkuat kompetensi calon tenaga kesehatan melalui pengalaman langsung di lapangan.</w:t>
      </w:r>
    </w:p>
    <w:p w14:paraId="1530CB74" w14:textId="0AD27083" w:rsidR="00570F12" w:rsidRPr="005F4423" w:rsidRDefault="00A47B71" w:rsidP="00A47B71">
      <w:pPr>
        <w:spacing w:after="0" w:line="360" w:lineRule="auto"/>
        <w:jc w:val="center"/>
        <w:rPr>
          <w:rFonts w:ascii="Times New Roman" w:eastAsia="Times New Roman" w:hAnsi="Times New Roman" w:cs="Times New Roman"/>
          <w:b/>
          <w:sz w:val="24"/>
          <w:szCs w:val="24"/>
          <w:lang w:val="id-ID"/>
        </w:rPr>
      </w:pPr>
      <w:r>
        <w:rPr>
          <w:noProof/>
        </w:rPr>
        <w:drawing>
          <wp:inline distT="0" distB="0" distL="0" distR="0" wp14:anchorId="07A17FAA" wp14:editId="4C73F7F7">
            <wp:extent cx="2495550" cy="159719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2142"/>
                    <a:stretch/>
                  </pic:blipFill>
                  <pic:spPr bwMode="auto">
                    <a:xfrm>
                      <a:off x="0" y="0"/>
                      <a:ext cx="2498697" cy="15992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32FA6D" wp14:editId="2D81179F">
            <wp:extent cx="2838450" cy="159627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837" cy="1597617"/>
                    </a:xfrm>
                    <a:prstGeom prst="rect">
                      <a:avLst/>
                    </a:prstGeom>
                    <a:noFill/>
                    <a:ln>
                      <a:noFill/>
                    </a:ln>
                  </pic:spPr>
                </pic:pic>
              </a:graphicData>
            </a:graphic>
          </wp:inline>
        </w:drawing>
      </w:r>
    </w:p>
    <w:p w14:paraId="7CE0C863" w14:textId="283565D5" w:rsidR="00A47B71" w:rsidRPr="00A47B71" w:rsidRDefault="006E1E10" w:rsidP="00A47B71">
      <w:pPr>
        <w:tabs>
          <w:tab w:val="left" w:pos="993"/>
        </w:tabs>
        <w:spacing w:after="0" w:line="240" w:lineRule="auto"/>
        <w:ind w:left="993" w:hanging="993"/>
        <w:jc w:val="center"/>
        <w:rPr>
          <w:rFonts w:ascii="Times New Roman" w:eastAsia="Times New Roman" w:hAnsi="Times New Roman" w:cs="Times New Roman"/>
          <w:bCs/>
          <w:lang w:val="id-ID"/>
        </w:rPr>
      </w:pPr>
      <w:r w:rsidRPr="005F4423">
        <w:rPr>
          <w:rFonts w:ascii="Times New Roman" w:eastAsia="Times New Roman" w:hAnsi="Times New Roman" w:cs="Times New Roman"/>
          <w:b/>
          <w:lang w:val="id-ID"/>
        </w:rPr>
        <w:t>Gambar 1.</w:t>
      </w:r>
      <w:r w:rsidRPr="005F4423">
        <w:rPr>
          <w:rFonts w:ascii="Times New Roman" w:eastAsia="Times New Roman" w:hAnsi="Times New Roman" w:cs="Times New Roman"/>
          <w:bCs/>
          <w:lang w:val="id-ID"/>
        </w:rPr>
        <w:t xml:space="preserve"> </w:t>
      </w:r>
      <w:r w:rsidR="00A47B71" w:rsidRPr="00A47B71">
        <w:rPr>
          <w:rFonts w:ascii="Times New Roman" w:eastAsia="Times New Roman" w:hAnsi="Times New Roman" w:cs="Times New Roman"/>
          <w:bCs/>
          <w:lang w:val="id-ID"/>
        </w:rPr>
        <w:t>Penyuluha</w:t>
      </w:r>
      <w:r w:rsidR="00A47B71">
        <w:rPr>
          <w:rFonts w:ascii="Times New Roman" w:eastAsia="Times New Roman" w:hAnsi="Times New Roman" w:cs="Times New Roman"/>
          <w:bCs/>
          <w:lang w:val="id-ID"/>
        </w:rPr>
        <w:t>n</w:t>
      </w:r>
      <w:r w:rsidR="00A47B71" w:rsidRPr="00A47B71">
        <w:rPr>
          <w:rFonts w:ascii="Times New Roman" w:eastAsia="Times New Roman" w:hAnsi="Times New Roman" w:cs="Times New Roman"/>
          <w:bCs/>
          <w:lang w:val="id-ID"/>
        </w:rPr>
        <w:t xml:space="preserve"> dan Senam Lansia</w:t>
      </w:r>
    </w:p>
    <w:p w14:paraId="56746AFC" w14:textId="00326D0F" w:rsidR="00A47B71" w:rsidRPr="00A47B71" w:rsidRDefault="00A47B71" w:rsidP="00A47B71">
      <w:pPr>
        <w:tabs>
          <w:tab w:val="left" w:pos="993"/>
        </w:tabs>
        <w:spacing w:after="0" w:line="240" w:lineRule="auto"/>
        <w:ind w:left="993" w:hanging="993"/>
        <w:jc w:val="center"/>
        <w:rPr>
          <w:rFonts w:ascii="Times New Roman" w:eastAsia="Times New Roman" w:hAnsi="Times New Roman" w:cs="Times New Roman"/>
          <w:bCs/>
          <w:lang w:val="id-ID"/>
        </w:rPr>
      </w:pPr>
      <w:r>
        <w:rPr>
          <w:noProof/>
        </w:rPr>
        <w:lastRenderedPageBreak/>
        <w:drawing>
          <wp:inline distT="0" distB="0" distL="0" distR="0" wp14:anchorId="03568496" wp14:editId="29291502">
            <wp:extent cx="2479589" cy="1394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669" cy="1397317"/>
                    </a:xfrm>
                    <a:prstGeom prst="rect">
                      <a:avLst/>
                    </a:prstGeom>
                    <a:noFill/>
                    <a:ln>
                      <a:noFill/>
                    </a:ln>
                  </pic:spPr>
                </pic:pic>
              </a:graphicData>
            </a:graphic>
          </wp:inline>
        </w:drawing>
      </w:r>
      <w:r>
        <w:rPr>
          <w:noProof/>
        </w:rPr>
        <w:drawing>
          <wp:inline distT="0" distB="0" distL="0" distR="0" wp14:anchorId="298E82B6" wp14:editId="3F9F38F5">
            <wp:extent cx="1847850" cy="138599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6439" cy="1392432"/>
                    </a:xfrm>
                    <a:prstGeom prst="rect">
                      <a:avLst/>
                    </a:prstGeom>
                  </pic:spPr>
                </pic:pic>
              </a:graphicData>
            </a:graphic>
          </wp:inline>
        </w:drawing>
      </w:r>
    </w:p>
    <w:p w14:paraId="4B392A7A" w14:textId="77777777" w:rsidR="00A47B71" w:rsidRPr="00A47B71" w:rsidRDefault="00A47B71" w:rsidP="00A47B71">
      <w:pPr>
        <w:tabs>
          <w:tab w:val="left" w:pos="993"/>
        </w:tabs>
        <w:spacing w:after="0" w:line="240" w:lineRule="auto"/>
        <w:ind w:left="993" w:hanging="993"/>
        <w:rPr>
          <w:rFonts w:ascii="Times New Roman" w:eastAsia="Times New Roman" w:hAnsi="Times New Roman" w:cs="Times New Roman"/>
          <w:bCs/>
          <w:lang w:val="id-ID"/>
        </w:rPr>
      </w:pPr>
      <w:r w:rsidRPr="00A47B71">
        <w:rPr>
          <w:rFonts w:ascii="Times New Roman" w:eastAsia="Times New Roman" w:hAnsi="Times New Roman" w:cs="Times New Roman"/>
          <w:bCs/>
          <w:lang w:val="id-ID"/>
        </w:rPr>
        <w:t xml:space="preserve">  </w:t>
      </w:r>
    </w:p>
    <w:p w14:paraId="0BF9E3C1" w14:textId="080962FA" w:rsidR="00570F12" w:rsidRPr="005F4423" w:rsidRDefault="00A47B71" w:rsidP="00A47B71">
      <w:pPr>
        <w:tabs>
          <w:tab w:val="left" w:pos="993"/>
        </w:tabs>
        <w:spacing w:after="0" w:line="240" w:lineRule="auto"/>
        <w:ind w:left="993" w:hanging="993"/>
        <w:jc w:val="center"/>
        <w:rPr>
          <w:rFonts w:ascii="Times New Roman" w:eastAsia="Times New Roman" w:hAnsi="Times New Roman" w:cs="Times New Roman"/>
          <w:lang w:val="id-ID"/>
        </w:rPr>
      </w:pPr>
      <w:r w:rsidRPr="00A47B71">
        <w:rPr>
          <w:rFonts w:ascii="Times New Roman" w:eastAsia="Times New Roman" w:hAnsi="Times New Roman" w:cs="Times New Roman"/>
          <w:b/>
          <w:lang w:val="id-ID"/>
        </w:rPr>
        <w:t>Gambar 2.</w:t>
      </w:r>
      <w:r w:rsidRPr="00A47B71">
        <w:rPr>
          <w:rFonts w:ascii="Times New Roman" w:eastAsia="Times New Roman" w:hAnsi="Times New Roman" w:cs="Times New Roman"/>
          <w:bCs/>
          <w:lang w:val="id-ID"/>
        </w:rPr>
        <w:t xml:space="preserve"> Edukasi Bantuan Dasar Hidup dengan </w:t>
      </w:r>
      <w:r>
        <w:rPr>
          <w:rFonts w:ascii="Times New Roman" w:eastAsia="Times New Roman" w:hAnsi="Times New Roman" w:cs="Times New Roman"/>
          <w:bCs/>
          <w:lang w:val="id-ID"/>
        </w:rPr>
        <w:t>M</w:t>
      </w:r>
      <w:r w:rsidRPr="00A47B71">
        <w:rPr>
          <w:rFonts w:ascii="Times New Roman" w:eastAsia="Times New Roman" w:hAnsi="Times New Roman" w:cs="Times New Roman"/>
          <w:bCs/>
          <w:lang w:val="id-ID"/>
        </w:rPr>
        <w:t xml:space="preserve">enggunakan </w:t>
      </w:r>
      <w:r>
        <w:rPr>
          <w:rFonts w:ascii="Times New Roman" w:eastAsia="Times New Roman" w:hAnsi="Times New Roman" w:cs="Times New Roman"/>
          <w:bCs/>
          <w:lang w:val="id-ID"/>
        </w:rPr>
        <w:t>A</w:t>
      </w:r>
      <w:r w:rsidRPr="00A47B71">
        <w:rPr>
          <w:rFonts w:ascii="Times New Roman" w:eastAsia="Times New Roman" w:hAnsi="Times New Roman" w:cs="Times New Roman"/>
          <w:bCs/>
          <w:lang w:val="id-ID"/>
        </w:rPr>
        <w:t xml:space="preserve">plikasi dan </w:t>
      </w:r>
      <w:r>
        <w:rPr>
          <w:rFonts w:ascii="Times New Roman" w:eastAsia="Times New Roman" w:hAnsi="Times New Roman" w:cs="Times New Roman"/>
          <w:bCs/>
          <w:lang w:val="id-ID"/>
        </w:rPr>
        <w:t>P</w:t>
      </w:r>
      <w:r w:rsidRPr="00A47B71">
        <w:rPr>
          <w:rFonts w:ascii="Times New Roman" w:eastAsia="Times New Roman" w:hAnsi="Times New Roman" w:cs="Times New Roman"/>
          <w:bCs/>
          <w:lang w:val="id-ID"/>
        </w:rPr>
        <w:t>ermainan</w:t>
      </w:r>
    </w:p>
    <w:p w14:paraId="614F6435" w14:textId="77777777" w:rsidR="00570F12" w:rsidRPr="005F4423" w:rsidRDefault="00570F12">
      <w:pPr>
        <w:spacing w:after="0" w:line="360" w:lineRule="auto"/>
        <w:jc w:val="both"/>
        <w:rPr>
          <w:rFonts w:ascii="Times New Roman" w:eastAsia="Times New Roman" w:hAnsi="Times New Roman" w:cs="Times New Roman"/>
          <w:sz w:val="24"/>
          <w:szCs w:val="24"/>
          <w:lang w:val="id-ID"/>
        </w:rPr>
      </w:pPr>
    </w:p>
    <w:p w14:paraId="1C80EB1D" w14:textId="7E979513" w:rsidR="00570F12" w:rsidRPr="005F4423" w:rsidRDefault="005F4423" w:rsidP="005F4423">
      <w:pPr>
        <w:spacing w:after="120"/>
        <w:jc w:val="both"/>
        <w:rPr>
          <w:rFonts w:ascii="Times New Roman" w:eastAsia="Times New Roman" w:hAnsi="Times New Roman" w:cs="Times New Roman"/>
          <w:b/>
          <w:sz w:val="24"/>
          <w:szCs w:val="24"/>
          <w:lang w:val="id-ID"/>
        </w:rPr>
      </w:pPr>
      <w:r w:rsidRPr="005F4423">
        <w:rPr>
          <w:rFonts w:ascii="Times New Roman" w:eastAsia="Times New Roman" w:hAnsi="Times New Roman" w:cs="Times New Roman"/>
          <w:b/>
          <w:sz w:val="24"/>
          <w:szCs w:val="24"/>
          <w:lang w:val="id-ID"/>
        </w:rPr>
        <w:t>KESIMPULAN</w:t>
      </w:r>
    </w:p>
    <w:p w14:paraId="3762C4C1" w14:textId="77777777" w:rsidR="00A47B71" w:rsidRPr="00A47B71"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Kegiatan pengabdian masyarakat yang dilaksanakan di Keat Hong Community Club Singapore pada tanggal 13 September 2025 berhasil memberikan kontribusi positif terhadap peningkatan kesehatan promotif dan preventif komunitas lansia Keat Hong melalui kombinasi penyuluhan kesehatan dan pemeriksaan medis komprehensif. Pelayanan screening meliputi pemeriksaan ECG, Leg Screening untuk deteksi Peripheral Arterial Disease, serta pemeriksaan tekanan darah, kolesterol, dan gula darah mampu membantu peserta mengenali status kesehatan mereka secara lebih dini sehingga mendorong pencarian layanan medis lanjutan apabila diperlukan. Di sisi lain, edukasi kesehatan mendorong peningkatan kesadaran lansia terkait pola hidup sehat dan pengelolaan faktor risiko penyakit kardiovaskular.</w:t>
      </w:r>
    </w:p>
    <w:p w14:paraId="577E9B44" w14:textId="63230364" w:rsidR="005F4423" w:rsidRPr="005F4423" w:rsidRDefault="00A47B71" w:rsidP="00A47B71">
      <w:pPr>
        <w:spacing w:after="120"/>
        <w:jc w:val="both"/>
        <w:rPr>
          <w:rFonts w:ascii="Times New Roman" w:eastAsia="Times New Roman" w:hAnsi="Times New Roman" w:cs="Times New Roman"/>
          <w:sz w:val="24"/>
          <w:szCs w:val="24"/>
          <w:lang w:val="id-ID"/>
        </w:rPr>
      </w:pPr>
      <w:r w:rsidRPr="00A47B71">
        <w:rPr>
          <w:rFonts w:ascii="Times New Roman" w:eastAsia="Times New Roman" w:hAnsi="Times New Roman" w:cs="Times New Roman"/>
          <w:sz w:val="24"/>
          <w:szCs w:val="24"/>
          <w:lang w:val="id-ID"/>
        </w:rPr>
        <w:t>Kegiatan ini juga memberikan manfaat signifikan bagi relawan mahasiswa FKG UM Surabaya melalui peningkatan keterampilan komunikasi, kepedulian sosial, dan kompetensi pelayanan kesehatan berbasis kolaborasi interprofesional bersama mahasiswa Singapore Polytechnic. Kolaborasi lintas negara dan lintas institusi menjadi salah satu faktor keberhasilan program dan mencerminkan pentingnya keterlibatan calon tenaga kesehatan dalam pelayanan kesehatan masyarakat berbasis pengalaman nyata. Secara keseluruhan, kegiatan ini menunjukkan bahwa program pengabdian masyarakat yang berfokus pada deteksi dini dan edukasi kesehatan dapat menjadi langkah strategis dalam meningkatkan kualitas hidup lansia dan layak untuk dikembangkan secara berkelanjutan pada periode mendatang.</w:t>
      </w:r>
    </w:p>
    <w:p w14:paraId="18C876C7" w14:textId="77777777" w:rsidR="00570F12" w:rsidRPr="005F4423" w:rsidRDefault="00570F12">
      <w:pPr>
        <w:spacing w:after="0" w:line="360" w:lineRule="auto"/>
        <w:jc w:val="both"/>
        <w:rPr>
          <w:rFonts w:ascii="Times New Roman" w:eastAsia="Times New Roman" w:hAnsi="Times New Roman" w:cs="Times New Roman"/>
          <w:sz w:val="24"/>
          <w:szCs w:val="24"/>
          <w:lang w:val="id-ID"/>
        </w:rPr>
      </w:pPr>
    </w:p>
    <w:p w14:paraId="51BB488D" w14:textId="77777777" w:rsidR="005F4423" w:rsidRPr="005F4423" w:rsidRDefault="005F4423" w:rsidP="005F4423">
      <w:pPr>
        <w:spacing w:after="120"/>
        <w:jc w:val="both"/>
        <w:rPr>
          <w:rFonts w:ascii="Times New Roman" w:eastAsia="Times New Roman" w:hAnsi="Times New Roman" w:cs="Times New Roman"/>
          <w:b/>
          <w:sz w:val="24"/>
          <w:szCs w:val="24"/>
          <w:lang w:val="id-ID"/>
        </w:rPr>
      </w:pPr>
      <w:r w:rsidRPr="005F4423">
        <w:rPr>
          <w:rFonts w:ascii="Times New Roman" w:eastAsia="Times New Roman" w:hAnsi="Times New Roman" w:cs="Times New Roman"/>
          <w:b/>
          <w:sz w:val="24"/>
          <w:szCs w:val="24"/>
          <w:lang w:val="id-ID"/>
        </w:rPr>
        <w:t>REFERENSI</w:t>
      </w:r>
    </w:p>
    <w:p w14:paraId="7193AF47" w14:textId="5598FDB1" w:rsidR="005E6D22" w:rsidRPr="005E6D22"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t xml:space="preserve">Khoo, S., et al. (2023). Interprofessional learning in community-based healthcare programmes for undergraduate students. </w:t>
      </w:r>
      <w:r w:rsidRPr="005E6D22">
        <w:rPr>
          <w:rFonts w:ascii="Times New Roman" w:eastAsia="Times New Roman" w:hAnsi="Times New Roman" w:cs="Times New Roman"/>
          <w:i/>
          <w:iCs/>
          <w:sz w:val="24"/>
          <w:szCs w:val="24"/>
          <w:lang w:val="id-ID"/>
        </w:rPr>
        <w:t>Journal of Medical Education</w:t>
      </w:r>
      <w:r w:rsidRPr="005E6D22">
        <w:rPr>
          <w:rFonts w:ascii="Times New Roman" w:eastAsia="Times New Roman" w:hAnsi="Times New Roman" w:cs="Times New Roman"/>
          <w:sz w:val="24"/>
          <w:szCs w:val="24"/>
          <w:lang w:val="id-ID"/>
        </w:rPr>
        <w:t>, 27(2), 145–154.</w:t>
      </w:r>
    </w:p>
    <w:p w14:paraId="6AD20E95" w14:textId="77777777" w:rsidR="005E6D22"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t xml:space="preserve">Lee, W., &amp; Goh, C. (2020). Community-based interventions to improve cardiovascular health among elderly populations in Singapore. </w:t>
      </w:r>
      <w:r w:rsidRPr="005E6D22">
        <w:rPr>
          <w:rFonts w:ascii="Times New Roman" w:eastAsia="Times New Roman" w:hAnsi="Times New Roman" w:cs="Times New Roman"/>
          <w:i/>
          <w:iCs/>
          <w:sz w:val="24"/>
          <w:szCs w:val="24"/>
          <w:lang w:val="id-ID"/>
        </w:rPr>
        <w:t>Asian Journal of Public Health</w:t>
      </w:r>
      <w:r w:rsidRPr="005E6D22">
        <w:rPr>
          <w:rFonts w:ascii="Times New Roman" w:eastAsia="Times New Roman" w:hAnsi="Times New Roman" w:cs="Times New Roman"/>
          <w:sz w:val="24"/>
          <w:szCs w:val="24"/>
          <w:lang w:val="id-ID"/>
        </w:rPr>
        <w:t>, 12(4), 233–240.</w:t>
      </w:r>
    </w:p>
    <w:p w14:paraId="700A00B1" w14:textId="327C6F99" w:rsidR="005E6D22" w:rsidRPr="005E6D22"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lastRenderedPageBreak/>
        <w:t xml:space="preserve">Lim, H., &amp; Chong, J. (2022). Age-related cardiovascular risks and preventive strategies in geriatric care. </w:t>
      </w:r>
      <w:r w:rsidRPr="005E6D22">
        <w:rPr>
          <w:rFonts w:ascii="Times New Roman" w:eastAsia="Times New Roman" w:hAnsi="Times New Roman" w:cs="Times New Roman"/>
          <w:i/>
          <w:iCs/>
          <w:sz w:val="24"/>
          <w:szCs w:val="24"/>
          <w:lang w:val="id-ID"/>
        </w:rPr>
        <w:t>Geriatric Medicine Review</w:t>
      </w:r>
      <w:r w:rsidRPr="005E6D22">
        <w:rPr>
          <w:rFonts w:ascii="Times New Roman" w:eastAsia="Times New Roman" w:hAnsi="Times New Roman" w:cs="Times New Roman"/>
          <w:sz w:val="24"/>
          <w:szCs w:val="24"/>
          <w:lang w:val="id-ID"/>
        </w:rPr>
        <w:t>, 8(1), 55–63.</w:t>
      </w:r>
    </w:p>
    <w:p w14:paraId="2C31E2F7" w14:textId="6656BECD" w:rsidR="005E6D22" w:rsidRPr="005E6D22"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t xml:space="preserve">Lim, K., &amp; Ong, W. (2021). Effectiveness of cardiovascular screening in elderly community settings in Southeast Asia. </w:t>
      </w:r>
      <w:r w:rsidRPr="005E6D22">
        <w:rPr>
          <w:rFonts w:ascii="Times New Roman" w:eastAsia="Times New Roman" w:hAnsi="Times New Roman" w:cs="Times New Roman"/>
          <w:i/>
          <w:iCs/>
          <w:sz w:val="24"/>
          <w:szCs w:val="24"/>
          <w:lang w:val="id-ID"/>
        </w:rPr>
        <w:t>Asia Pacific Preventive Cardiology Journal</w:t>
      </w:r>
      <w:r w:rsidRPr="005E6D22">
        <w:rPr>
          <w:rFonts w:ascii="Times New Roman" w:eastAsia="Times New Roman" w:hAnsi="Times New Roman" w:cs="Times New Roman"/>
          <w:sz w:val="24"/>
          <w:szCs w:val="24"/>
          <w:lang w:val="id-ID"/>
        </w:rPr>
        <w:t>, 10(3), 155–162.</w:t>
      </w:r>
    </w:p>
    <w:p w14:paraId="05802B55" w14:textId="1283D388" w:rsidR="005E6D22" w:rsidRPr="005E6D22"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t xml:space="preserve">Mohan, A., et al. (2023). Impact of early screening on cardiovascular event prevention among older adults: A systematic review. </w:t>
      </w:r>
      <w:r w:rsidRPr="005E6D22">
        <w:rPr>
          <w:rFonts w:ascii="Times New Roman" w:eastAsia="Times New Roman" w:hAnsi="Times New Roman" w:cs="Times New Roman"/>
          <w:i/>
          <w:iCs/>
          <w:sz w:val="24"/>
          <w:szCs w:val="24"/>
          <w:lang w:val="id-ID"/>
        </w:rPr>
        <w:t>Preventive Cardiology Reports</w:t>
      </w:r>
      <w:r w:rsidRPr="005E6D22">
        <w:rPr>
          <w:rFonts w:ascii="Times New Roman" w:eastAsia="Times New Roman" w:hAnsi="Times New Roman" w:cs="Times New Roman"/>
          <w:sz w:val="24"/>
          <w:szCs w:val="24"/>
          <w:lang w:val="id-ID"/>
        </w:rPr>
        <w:t>, 6(3), 121–130.</w:t>
      </w:r>
    </w:p>
    <w:p w14:paraId="3DFA6305" w14:textId="3D618C89" w:rsidR="005E6D22" w:rsidRPr="005E6D22"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t xml:space="preserve">Rahman, A., &amp; Setiawan, M. (2024). Sustainable promotive and preventive programmes for elderly populations: A systematic review. </w:t>
      </w:r>
      <w:r w:rsidRPr="005E6D22">
        <w:rPr>
          <w:rFonts w:ascii="Times New Roman" w:eastAsia="Times New Roman" w:hAnsi="Times New Roman" w:cs="Times New Roman"/>
          <w:i/>
          <w:iCs/>
          <w:sz w:val="24"/>
          <w:szCs w:val="24"/>
          <w:lang w:val="id-ID"/>
        </w:rPr>
        <w:t>Journal of Community Health Development</w:t>
      </w:r>
      <w:r w:rsidRPr="005E6D22">
        <w:rPr>
          <w:rFonts w:ascii="Times New Roman" w:eastAsia="Times New Roman" w:hAnsi="Times New Roman" w:cs="Times New Roman"/>
          <w:sz w:val="24"/>
          <w:szCs w:val="24"/>
          <w:lang w:val="id-ID"/>
        </w:rPr>
        <w:t>, 5(2), 44–56.</w:t>
      </w:r>
    </w:p>
    <w:p w14:paraId="537E8598" w14:textId="370CF419" w:rsidR="005E6D22" w:rsidRPr="005E6D22"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t xml:space="preserve">Santos, M., et al. (2021). Effectiveness of health education during screening programmes on lifestyle modification in older adults. </w:t>
      </w:r>
      <w:r w:rsidRPr="005E6D22">
        <w:rPr>
          <w:rFonts w:ascii="Times New Roman" w:eastAsia="Times New Roman" w:hAnsi="Times New Roman" w:cs="Times New Roman"/>
          <w:i/>
          <w:iCs/>
          <w:sz w:val="24"/>
          <w:szCs w:val="24"/>
          <w:lang w:val="id-ID"/>
        </w:rPr>
        <w:t>Journal of Health Promotion Research</w:t>
      </w:r>
      <w:r w:rsidRPr="005E6D22">
        <w:rPr>
          <w:rFonts w:ascii="Times New Roman" w:eastAsia="Times New Roman" w:hAnsi="Times New Roman" w:cs="Times New Roman"/>
          <w:sz w:val="24"/>
          <w:szCs w:val="24"/>
          <w:lang w:val="id-ID"/>
        </w:rPr>
        <w:t>, 9(1), 19–27.</w:t>
      </w:r>
    </w:p>
    <w:p w14:paraId="7270DAFD" w14:textId="769A88A4" w:rsidR="005E6D22" w:rsidRPr="005E6D22"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t xml:space="preserve">Santos, M., et al. (2022). WHO Asia recommendations for community-based health promotion among older adults. </w:t>
      </w:r>
      <w:r w:rsidRPr="005E6D22">
        <w:rPr>
          <w:rFonts w:ascii="Times New Roman" w:eastAsia="Times New Roman" w:hAnsi="Times New Roman" w:cs="Times New Roman"/>
          <w:i/>
          <w:iCs/>
          <w:sz w:val="24"/>
          <w:szCs w:val="24"/>
          <w:lang w:val="id-ID"/>
        </w:rPr>
        <w:t>International Journal of Healthy Aging</w:t>
      </w:r>
      <w:r w:rsidRPr="005E6D22">
        <w:rPr>
          <w:rFonts w:ascii="Times New Roman" w:eastAsia="Times New Roman" w:hAnsi="Times New Roman" w:cs="Times New Roman"/>
          <w:sz w:val="24"/>
          <w:szCs w:val="24"/>
          <w:lang w:val="id-ID"/>
        </w:rPr>
        <w:t>, 8(4), 212–220.</w:t>
      </w:r>
    </w:p>
    <w:p w14:paraId="5C29FE3F" w14:textId="4276E019" w:rsidR="005E6D22" w:rsidRPr="005E6D22"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t xml:space="preserve">Tan, S., et al. (2021). Epidemiology of chronic diseases among elderly in urban Asian populations. </w:t>
      </w:r>
      <w:r w:rsidRPr="005E6D22">
        <w:rPr>
          <w:rFonts w:ascii="Times New Roman" w:eastAsia="Times New Roman" w:hAnsi="Times New Roman" w:cs="Times New Roman"/>
          <w:i/>
          <w:iCs/>
          <w:sz w:val="24"/>
          <w:szCs w:val="24"/>
          <w:lang w:val="id-ID"/>
        </w:rPr>
        <w:t>International Journal of Aging and Health</w:t>
      </w:r>
      <w:r w:rsidRPr="005E6D22">
        <w:rPr>
          <w:rFonts w:ascii="Times New Roman" w:eastAsia="Times New Roman" w:hAnsi="Times New Roman" w:cs="Times New Roman"/>
          <w:sz w:val="24"/>
          <w:szCs w:val="24"/>
          <w:lang w:val="id-ID"/>
        </w:rPr>
        <w:t>, 15(2), 102–113.</w:t>
      </w:r>
    </w:p>
    <w:p w14:paraId="20320774" w14:textId="089184D6" w:rsidR="005E6D22" w:rsidRPr="005E6D22"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t xml:space="preserve">Tan, S., et al. (2023). Cardiovascular disease burden among elderly Asian populations: Current trends and prevention strategies. </w:t>
      </w:r>
      <w:r w:rsidRPr="005E6D22">
        <w:rPr>
          <w:rFonts w:ascii="Times New Roman" w:eastAsia="Times New Roman" w:hAnsi="Times New Roman" w:cs="Times New Roman"/>
          <w:i/>
          <w:iCs/>
          <w:sz w:val="24"/>
          <w:szCs w:val="24"/>
          <w:lang w:val="id-ID"/>
        </w:rPr>
        <w:t>Geriatric Cardiology Reports</w:t>
      </w:r>
      <w:r w:rsidRPr="005E6D22">
        <w:rPr>
          <w:rFonts w:ascii="Times New Roman" w:eastAsia="Times New Roman" w:hAnsi="Times New Roman" w:cs="Times New Roman"/>
          <w:sz w:val="24"/>
          <w:szCs w:val="24"/>
          <w:lang w:val="id-ID"/>
        </w:rPr>
        <w:t>, 14(1), 17–26.</w:t>
      </w:r>
    </w:p>
    <w:p w14:paraId="5C775580" w14:textId="0EACA31C" w:rsidR="005E6D22" w:rsidRPr="005E6D22"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t xml:space="preserve">Wong, P., &amp; Chia, L. (2021). Impact of interactive health education on lifestyle modification in older adults. </w:t>
      </w:r>
      <w:r w:rsidRPr="005E6D22">
        <w:rPr>
          <w:rFonts w:ascii="Times New Roman" w:eastAsia="Times New Roman" w:hAnsi="Times New Roman" w:cs="Times New Roman"/>
          <w:i/>
          <w:iCs/>
          <w:sz w:val="24"/>
          <w:szCs w:val="24"/>
          <w:lang w:val="id-ID"/>
        </w:rPr>
        <w:t>Journal of Health Promotion Practice</w:t>
      </w:r>
      <w:r w:rsidRPr="005E6D22">
        <w:rPr>
          <w:rFonts w:ascii="Times New Roman" w:eastAsia="Times New Roman" w:hAnsi="Times New Roman" w:cs="Times New Roman"/>
          <w:sz w:val="24"/>
          <w:szCs w:val="24"/>
          <w:lang w:val="id-ID"/>
        </w:rPr>
        <w:t>, 11(2), 75–84.</w:t>
      </w:r>
    </w:p>
    <w:p w14:paraId="633E4317" w14:textId="3A9C065B" w:rsidR="00570F12" w:rsidRPr="005F4423" w:rsidRDefault="005E6D22" w:rsidP="005E6D22">
      <w:pPr>
        <w:spacing w:after="120"/>
        <w:ind w:left="567" w:hanging="567"/>
        <w:jc w:val="both"/>
        <w:rPr>
          <w:rFonts w:ascii="Times New Roman" w:eastAsia="Times New Roman" w:hAnsi="Times New Roman" w:cs="Times New Roman"/>
          <w:sz w:val="24"/>
          <w:szCs w:val="24"/>
          <w:lang w:val="id-ID"/>
        </w:rPr>
      </w:pPr>
      <w:r w:rsidRPr="005E6D22">
        <w:rPr>
          <w:rFonts w:ascii="Times New Roman" w:eastAsia="Times New Roman" w:hAnsi="Times New Roman" w:cs="Times New Roman"/>
          <w:sz w:val="24"/>
          <w:szCs w:val="24"/>
          <w:lang w:val="id-ID"/>
        </w:rPr>
        <w:t xml:space="preserve">Yusuf, R., &amp; Harsono, T. (2022). Global collaboration in health education: A narrative review. </w:t>
      </w:r>
      <w:r w:rsidRPr="005E6D22">
        <w:rPr>
          <w:rFonts w:ascii="Times New Roman" w:eastAsia="Times New Roman" w:hAnsi="Times New Roman" w:cs="Times New Roman"/>
          <w:i/>
          <w:iCs/>
          <w:sz w:val="24"/>
          <w:szCs w:val="24"/>
          <w:lang w:val="id-ID"/>
        </w:rPr>
        <w:t>International Journal of Medical Training</w:t>
      </w:r>
      <w:r w:rsidRPr="005E6D22">
        <w:rPr>
          <w:rFonts w:ascii="Times New Roman" w:eastAsia="Times New Roman" w:hAnsi="Times New Roman" w:cs="Times New Roman"/>
          <w:sz w:val="24"/>
          <w:szCs w:val="24"/>
          <w:lang w:val="id-ID"/>
        </w:rPr>
        <w:t>, 10(4), 287–296.</w:t>
      </w:r>
    </w:p>
    <w:sectPr w:rsidR="00570F12" w:rsidRPr="005F4423">
      <w:headerReference w:type="even" r:id="rId11"/>
      <w:headerReference w:type="default" r:id="rId12"/>
      <w:footerReference w:type="even" r:id="rId13"/>
      <w:footerReference w:type="default" r:id="rId14"/>
      <w:headerReference w:type="first" r:id="rId15"/>
      <w:footerReference w:type="first" r:id="rId16"/>
      <w:pgSz w:w="11906" w:h="16838"/>
      <w:pgMar w:top="1701" w:right="1701" w:bottom="1701"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2B814" w14:textId="77777777" w:rsidR="00832ABA" w:rsidRDefault="00832ABA">
      <w:pPr>
        <w:spacing w:after="0" w:line="240" w:lineRule="auto"/>
      </w:pPr>
      <w:r>
        <w:separator/>
      </w:r>
    </w:p>
  </w:endnote>
  <w:endnote w:type="continuationSeparator" w:id="0">
    <w:p w14:paraId="14C050C4" w14:textId="77777777" w:rsidR="00832ABA" w:rsidRDefault="00832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258DD" w14:textId="77777777" w:rsidR="00570F12" w:rsidRDefault="00570F12">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C0C5" w14:textId="77777777" w:rsidR="00570F12" w:rsidRDefault="00832ABA">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85C40">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323F1584" w14:textId="77777777" w:rsidR="00570F12" w:rsidRDefault="00570F12">
    <w:pPr>
      <w:pBdr>
        <w:top w:val="nil"/>
        <w:left w:val="nil"/>
        <w:bottom w:val="nil"/>
        <w:right w:val="nil"/>
        <w:between w:val="nil"/>
      </w:pBdr>
      <w:tabs>
        <w:tab w:val="center" w:pos="4513"/>
        <w:tab w:val="right" w:pos="9026"/>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E8A3" w14:textId="77777777" w:rsidR="00570F12" w:rsidRDefault="00570F12">
    <w:pPr>
      <w:pBdr>
        <w:top w:val="nil"/>
        <w:left w:val="nil"/>
        <w:bottom w:val="nil"/>
        <w:right w:val="nil"/>
        <w:between w:val="nil"/>
      </w:pBdr>
      <w:tabs>
        <w:tab w:val="center" w:pos="4513"/>
        <w:tab w:val="right" w:pos="9026"/>
      </w:tabs>
      <w:spacing w:after="0" w:line="240" w:lineRule="auto"/>
      <w:jc w:val="center"/>
      <w:rPr>
        <w:color w:val="000000"/>
      </w:rPr>
    </w:pPr>
  </w:p>
  <w:p w14:paraId="17D68504" w14:textId="77777777" w:rsidR="00570F12" w:rsidRDefault="00570F1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3A125" w14:textId="77777777" w:rsidR="00832ABA" w:rsidRDefault="00832ABA">
      <w:pPr>
        <w:spacing w:after="0" w:line="240" w:lineRule="auto"/>
      </w:pPr>
      <w:r>
        <w:separator/>
      </w:r>
    </w:p>
  </w:footnote>
  <w:footnote w:type="continuationSeparator" w:id="0">
    <w:p w14:paraId="24625689" w14:textId="77777777" w:rsidR="00832ABA" w:rsidRDefault="00832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5F5A" w14:textId="6322644B" w:rsidR="00570F12" w:rsidRDefault="006E1E10">
    <w:pPr>
      <w:pBdr>
        <w:top w:val="nil"/>
        <w:left w:val="nil"/>
        <w:bottom w:val="nil"/>
        <w:right w:val="nil"/>
        <w:between w:val="nil"/>
      </w:pBdr>
      <w:tabs>
        <w:tab w:val="center" w:pos="4513"/>
        <w:tab w:val="right" w:pos="9026"/>
      </w:tabs>
      <w:spacing w:after="0" w:line="240" w:lineRule="auto"/>
      <w:jc w:val="right"/>
      <w:rPr>
        <w:color w:val="000000"/>
      </w:rPr>
    </w:pPr>
    <w:proofErr w:type="gramStart"/>
    <w:r w:rsidRPr="006E1E10">
      <w:rPr>
        <w:rFonts w:ascii="Times New Roman" w:eastAsia="Times New Roman" w:hAnsi="Times New Roman" w:cs="Times New Roman"/>
        <w:i/>
        <w:color w:val="000000"/>
      </w:rPr>
      <w:t>KARIA :</w:t>
    </w:r>
    <w:proofErr w:type="gramEnd"/>
    <w:r w:rsidRPr="006E1E10">
      <w:rPr>
        <w:rFonts w:ascii="Times New Roman" w:eastAsia="Times New Roman" w:hAnsi="Times New Roman" w:cs="Times New Roman"/>
        <w:i/>
        <w:color w:val="000000"/>
      </w:rPr>
      <w:t xml:space="preserve"> Knowledge And Research in Application Dental Journal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7DCA" w14:textId="2C4D6177" w:rsidR="006E1E10" w:rsidRDefault="006E1E10" w:rsidP="006E1E10">
    <w:pPr>
      <w:pStyle w:val="Header"/>
      <w:jc w:val="right"/>
    </w:pPr>
    <w:proofErr w:type="gramStart"/>
    <w:r w:rsidRPr="006E1E10">
      <w:rPr>
        <w:rFonts w:ascii="Times New Roman" w:eastAsia="Times New Roman" w:hAnsi="Times New Roman" w:cs="Times New Roman"/>
        <w:i/>
        <w:color w:val="000000"/>
      </w:rPr>
      <w:t>KARIA :</w:t>
    </w:r>
    <w:proofErr w:type="gramEnd"/>
    <w:r w:rsidRPr="006E1E10">
      <w:rPr>
        <w:rFonts w:ascii="Times New Roman" w:eastAsia="Times New Roman" w:hAnsi="Times New Roman" w:cs="Times New Roman"/>
        <w:i/>
        <w:color w:val="000000"/>
      </w:rPr>
      <w:t xml:space="preserve"> Knowledge And Research in Application Dental Journal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D63F6" w14:textId="77777777" w:rsidR="00570F12" w:rsidRDefault="00570F12">
    <w:pPr>
      <w:pBdr>
        <w:top w:val="nil"/>
        <w:left w:val="nil"/>
        <w:bottom w:val="nil"/>
        <w:right w:val="nil"/>
        <w:between w:val="nil"/>
      </w:pBdr>
      <w:tabs>
        <w:tab w:val="center" w:pos="4513"/>
        <w:tab w:val="right" w:pos="9026"/>
      </w:tabs>
      <w:spacing w:after="0" w:line="240" w:lineRule="auto"/>
      <w:rPr>
        <w:color w:val="000000"/>
      </w:rPr>
    </w:pPr>
  </w:p>
  <w:p w14:paraId="3150BDDE" w14:textId="77777777" w:rsidR="00570F12" w:rsidRDefault="00570F1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1BBF"/>
    <w:multiLevelType w:val="hybridMultilevel"/>
    <w:tmpl w:val="AC68871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9D7442A"/>
    <w:multiLevelType w:val="hybridMultilevel"/>
    <w:tmpl w:val="7F3CC40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F12"/>
    <w:rsid w:val="001151C6"/>
    <w:rsid w:val="0034085E"/>
    <w:rsid w:val="00570F12"/>
    <w:rsid w:val="005B6A4A"/>
    <w:rsid w:val="005E6D22"/>
    <w:rsid w:val="005F4423"/>
    <w:rsid w:val="006E1E10"/>
    <w:rsid w:val="007F5E13"/>
    <w:rsid w:val="00832ABA"/>
    <w:rsid w:val="00985C40"/>
    <w:rsid w:val="00A47B71"/>
    <w:rsid w:val="00EC10B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F16C4"/>
  <w15:docId w15:val="{EB8E3925-18B8-4BE5-9956-A2C2431A6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85C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C40"/>
  </w:style>
  <w:style w:type="character" w:styleId="Hyperlink">
    <w:name w:val="Hyperlink"/>
    <w:basedOn w:val="DefaultParagraphFont"/>
    <w:uiPriority w:val="99"/>
    <w:unhideWhenUsed/>
    <w:rsid w:val="006E1E10"/>
    <w:rPr>
      <w:color w:val="0000FF" w:themeColor="hyperlink"/>
      <w:u w:val="single"/>
    </w:rPr>
  </w:style>
  <w:style w:type="character" w:styleId="UnresolvedMention">
    <w:name w:val="Unresolved Mention"/>
    <w:basedOn w:val="DefaultParagraphFont"/>
    <w:uiPriority w:val="99"/>
    <w:semiHidden/>
    <w:unhideWhenUsed/>
    <w:rsid w:val="006E1E10"/>
    <w:rPr>
      <w:color w:val="605E5C"/>
      <w:shd w:val="clear" w:color="auto" w:fill="E1DFDD"/>
    </w:rPr>
  </w:style>
  <w:style w:type="paragraph" w:styleId="ListParagraph">
    <w:name w:val="List Paragraph"/>
    <w:basedOn w:val="Normal"/>
    <w:uiPriority w:val="34"/>
    <w:qFormat/>
    <w:rsid w:val="00A47B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Pages>
  <Words>2116</Words>
  <Characters>12063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Hype G12</cp:lastModifiedBy>
  <cp:revision>5</cp:revision>
  <dcterms:created xsi:type="dcterms:W3CDTF">2023-10-09T02:54:00Z</dcterms:created>
  <dcterms:modified xsi:type="dcterms:W3CDTF">2025-12-31T13:39:00Z</dcterms:modified>
</cp:coreProperties>
</file>